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031BB" w:rsidRDefault="006031BB" w:rsidP="00447AE6">
      <w:pPr>
        <w:pStyle w:val="Nzev"/>
        <w:pBdr>
          <w:bottom w:val="single" w:sz="4" w:space="1" w:color="auto"/>
        </w:pBdr>
        <w:spacing w:after="0"/>
        <w:jc w:val="both"/>
        <w:rPr>
          <w:rFonts w:asciiTheme="minorHAnsi" w:hAnsiTheme="minorHAnsi" w:cstheme="minorHAnsi"/>
        </w:rPr>
      </w:pPr>
    </w:p>
    <w:p w:rsidR="00191A13" w:rsidRPr="00447AE6" w:rsidRDefault="00607688" w:rsidP="00447AE6">
      <w:pPr>
        <w:pStyle w:val="Nzev"/>
        <w:pBdr>
          <w:bottom w:val="single" w:sz="4" w:space="1" w:color="auto"/>
        </w:pBdr>
        <w:spacing w:after="0"/>
        <w:jc w:val="both"/>
        <w:rPr>
          <w:rFonts w:asciiTheme="minorHAnsi" w:hAnsiTheme="minorHAnsi" w:cstheme="minorHAnsi"/>
        </w:rPr>
      </w:pPr>
      <w:r>
        <w:rPr>
          <w:rFonts w:asciiTheme="minorHAnsi" w:hAnsiTheme="minorHAnsi" w:cstheme="minorHAnsi"/>
        </w:rPr>
        <w:t>D.</w:t>
      </w:r>
      <w:r w:rsidR="00743FCF" w:rsidRPr="00447AE6">
        <w:rPr>
          <w:rFonts w:asciiTheme="minorHAnsi" w:hAnsiTheme="minorHAnsi" w:cstheme="minorHAnsi"/>
        </w:rPr>
        <w:t>1.1</w:t>
      </w:r>
      <w:r>
        <w:rPr>
          <w:rFonts w:asciiTheme="minorHAnsi" w:hAnsiTheme="minorHAnsi" w:cstheme="minorHAnsi"/>
        </w:rPr>
        <w:t>.1</w:t>
      </w:r>
      <w:r w:rsidR="00743FCF" w:rsidRPr="00447AE6">
        <w:rPr>
          <w:rFonts w:asciiTheme="minorHAnsi" w:hAnsiTheme="minorHAnsi" w:cstheme="minorHAnsi"/>
        </w:rPr>
        <w:t xml:space="preserve"> TECHNICKÁ ZPRÁVA</w:t>
      </w:r>
    </w:p>
    <w:p w:rsidR="00447AE6" w:rsidRPr="00447AE6" w:rsidRDefault="00447AE6" w:rsidP="00447AE6">
      <w:pPr>
        <w:pStyle w:val="Nadpis1"/>
        <w:keepLines w:val="0"/>
        <w:widowControl w:val="0"/>
        <w:numPr>
          <w:ilvl w:val="0"/>
          <w:numId w:val="14"/>
        </w:numPr>
        <w:spacing w:before="240" w:after="120" w:line="360" w:lineRule="auto"/>
        <w:rPr>
          <w:rFonts w:asciiTheme="minorHAnsi" w:hAnsiTheme="minorHAnsi" w:cstheme="minorHAnsi"/>
          <w:color w:val="000000" w:themeColor="text1"/>
          <w:sz w:val="24"/>
        </w:rPr>
      </w:pPr>
      <w:r w:rsidRPr="00447AE6">
        <w:rPr>
          <w:rFonts w:asciiTheme="minorHAnsi" w:hAnsiTheme="minorHAnsi" w:cstheme="minorHAnsi"/>
          <w:color w:val="000000" w:themeColor="text1"/>
          <w:sz w:val="24"/>
        </w:rPr>
        <w:t>Identifikační údaje</w:t>
      </w:r>
    </w:p>
    <w:p w:rsidR="00573E58" w:rsidRPr="00573E58" w:rsidRDefault="00447AE6" w:rsidP="00447AE6">
      <w:pPr>
        <w:pStyle w:val="text1"/>
        <w:numPr>
          <w:ilvl w:val="0"/>
          <w:numId w:val="12"/>
        </w:numPr>
        <w:rPr>
          <w:b/>
        </w:rPr>
      </w:pPr>
      <w:r>
        <w:t>označení</w:t>
      </w:r>
      <w:r w:rsidRPr="00F21350">
        <w:t xml:space="preserve"> stavby:</w:t>
      </w:r>
      <w:r>
        <w:tab/>
      </w:r>
      <w:r w:rsidR="00573E58" w:rsidRPr="00856342">
        <w:rPr>
          <w:rFonts w:eastAsia="Times New Roman"/>
          <w:b/>
        </w:rPr>
        <w:t xml:space="preserve">Rekonstrukce příjezdové komunikace </w:t>
      </w:r>
    </w:p>
    <w:p w:rsidR="00447AE6" w:rsidRPr="00573E58" w:rsidRDefault="00573E58" w:rsidP="00573E58">
      <w:pPr>
        <w:pStyle w:val="text1"/>
        <w:ind w:left="2138" w:firstLine="698"/>
        <w:rPr>
          <w:b/>
        </w:rPr>
      </w:pPr>
      <w:r w:rsidRPr="00856342">
        <w:rPr>
          <w:rFonts w:eastAsia="Times New Roman"/>
          <w:b/>
        </w:rPr>
        <w:t>na</w:t>
      </w:r>
      <w:r>
        <w:rPr>
          <w:rFonts w:eastAsia="Times New Roman"/>
          <w:b/>
        </w:rPr>
        <w:t xml:space="preserve"> </w:t>
      </w:r>
      <w:r w:rsidRPr="00856342">
        <w:rPr>
          <w:rFonts w:eastAsia="Times New Roman"/>
          <w:b/>
        </w:rPr>
        <w:t xml:space="preserve">pozemku </w:t>
      </w:r>
      <w:r w:rsidRPr="00573E58">
        <w:rPr>
          <w:rFonts w:eastAsia="Times New Roman"/>
          <w:b/>
        </w:rPr>
        <w:t xml:space="preserve">3065/1 v k. </w:t>
      </w:r>
      <w:proofErr w:type="spellStart"/>
      <w:r w:rsidRPr="00573E58">
        <w:rPr>
          <w:rFonts w:eastAsia="Times New Roman"/>
          <w:b/>
        </w:rPr>
        <w:t>ú.</w:t>
      </w:r>
      <w:proofErr w:type="spellEnd"/>
      <w:r w:rsidRPr="00573E58">
        <w:rPr>
          <w:rFonts w:eastAsia="Times New Roman"/>
          <w:b/>
        </w:rPr>
        <w:t xml:space="preserve"> </w:t>
      </w:r>
      <w:proofErr w:type="spellStart"/>
      <w:r w:rsidRPr="00573E58">
        <w:rPr>
          <w:rFonts w:eastAsia="Times New Roman"/>
          <w:b/>
        </w:rPr>
        <w:t>Encovany</w:t>
      </w:r>
      <w:proofErr w:type="spellEnd"/>
    </w:p>
    <w:p w:rsidR="00CE25B1" w:rsidRPr="00573E58" w:rsidRDefault="00CE25B1" w:rsidP="00CE25B1">
      <w:pPr>
        <w:ind w:left="2127" w:firstLine="709"/>
        <w:rPr>
          <w:b/>
          <w:u w:val="single"/>
        </w:rPr>
      </w:pPr>
      <w:r w:rsidRPr="00573E58">
        <w:rPr>
          <w:b/>
          <w:u w:val="single"/>
        </w:rPr>
        <w:t>SO 101 – Pozemní komunikace</w:t>
      </w:r>
    </w:p>
    <w:p w:rsidR="00447AE6" w:rsidRPr="00573E58" w:rsidRDefault="00447AE6" w:rsidP="00447AE6">
      <w:pPr>
        <w:pStyle w:val="text1"/>
        <w:ind w:left="777" w:firstLine="0"/>
        <w:rPr>
          <w:b/>
        </w:rPr>
      </w:pPr>
    </w:p>
    <w:p w:rsidR="00447AE6" w:rsidRPr="00573E58" w:rsidRDefault="00447AE6" w:rsidP="00447AE6">
      <w:pPr>
        <w:pStyle w:val="text1"/>
        <w:numPr>
          <w:ilvl w:val="0"/>
          <w:numId w:val="12"/>
        </w:numPr>
      </w:pPr>
      <w:r w:rsidRPr="00573E58">
        <w:t>stavebník:</w:t>
      </w:r>
      <w:r w:rsidRPr="00573E58">
        <w:tab/>
      </w:r>
      <w:r w:rsidRPr="00573E58">
        <w:tab/>
      </w:r>
      <w:r w:rsidR="00573E58" w:rsidRPr="00573E58">
        <w:t>obec Polepy</w:t>
      </w:r>
    </w:p>
    <w:p w:rsidR="00447AE6" w:rsidRPr="00573E58" w:rsidRDefault="00447AE6" w:rsidP="00447AE6">
      <w:pPr>
        <w:pStyle w:val="text1"/>
        <w:ind w:left="777" w:firstLine="0"/>
      </w:pPr>
      <w:r w:rsidRPr="00573E58">
        <w:tab/>
      </w:r>
      <w:r w:rsidRPr="00573E58">
        <w:tab/>
      </w:r>
      <w:r w:rsidRPr="00573E58">
        <w:tab/>
      </w:r>
      <w:r w:rsidR="00573E58" w:rsidRPr="00573E58">
        <w:t>Polepy 112, 411 47 Polepy</w:t>
      </w:r>
    </w:p>
    <w:p w:rsidR="00447AE6" w:rsidRPr="00573E58" w:rsidRDefault="00447AE6" w:rsidP="00447AE6">
      <w:pPr>
        <w:pStyle w:val="text1"/>
        <w:ind w:left="777" w:firstLine="0"/>
      </w:pPr>
      <w:r w:rsidRPr="00573E58">
        <w:tab/>
      </w:r>
      <w:r w:rsidRPr="00573E58">
        <w:tab/>
      </w:r>
      <w:r w:rsidRPr="00573E58">
        <w:tab/>
      </w:r>
      <w:r w:rsidR="00573E58" w:rsidRPr="00573E58">
        <w:t>IČO: 00264202</w:t>
      </w:r>
    </w:p>
    <w:p w:rsidR="00447AE6" w:rsidRDefault="00447AE6" w:rsidP="00447AE6">
      <w:pPr>
        <w:pStyle w:val="text1"/>
        <w:ind w:left="777" w:firstLine="0"/>
      </w:pPr>
    </w:p>
    <w:p w:rsidR="008342E0" w:rsidRPr="008342E0" w:rsidRDefault="00447AE6" w:rsidP="008342E0">
      <w:pPr>
        <w:pStyle w:val="Odstavecseseznamem"/>
        <w:numPr>
          <w:ilvl w:val="0"/>
          <w:numId w:val="12"/>
        </w:numPr>
        <w:rPr>
          <w:color w:val="000000"/>
        </w:rPr>
      </w:pPr>
      <w:r>
        <w:t>projektant</w:t>
      </w:r>
      <w:r w:rsidRPr="008342E0">
        <w:rPr>
          <w:rFonts w:cs="Tahoma"/>
        </w:rPr>
        <w:t>:</w:t>
      </w:r>
      <w:r w:rsidRPr="008342E0">
        <w:rPr>
          <w:rFonts w:cs="Tahoma"/>
        </w:rPr>
        <w:tab/>
      </w:r>
      <w:r w:rsidRPr="008342E0">
        <w:rPr>
          <w:rFonts w:cs="Tahoma"/>
        </w:rPr>
        <w:tab/>
      </w:r>
      <w:r w:rsidR="008342E0">
        <w:rPr>
          <w:color w:val="000000"/>
        </w:rPr>
        <w:t>projektant:</w:t>
      </w:r>
      <w:r w:rsidR="008342E0">
        <w:rPr>
          <w:color w:val="000000"/>
        </w:rPr>
        <w:tab/>
      </w:r>
      <w:r w:rsidR="008342E0" w:rsidRPr="008342E0">
        <w:rPr>
          <w:color w:val="000000"/>
        </w:rPr>
        <w:t>NE2D Projekt s.r.o.</w:t>
      </w:r>
    </w:p>
    <w:p w:rsidR="00CE25B1" w:rsidRPr="008342E0" w:rsidRDefault="00CE25B1" w:rsidP="008342E0">
      <w:pPr>
        <w:pStyle w:val="Odstavecseseznamem"/>
        <w:widowControl w:val="0"/>
        <w:spacing w:line="240" w:lineRule="auto"/>
        <w:ind w:left="2552" w:firstLine="284"/>
        <w:rPr>
          <w:kern w:val="0"/>
          <w:lang w:eastAsia="en-US"/>
        </w:rPr>
      </w:pPr>
      <w:r w:rsidRPr="008342E0">
        <w:rPr>
          <w:kern w:val="0"/>
          <w:lang w:eastAsia="en-US"/>
        </w:rPr>
        <w:t>sídlo:</w:t>
      </w:r>
      <w:r w:rsidRPr="008342E0">
        <w:rPr>
          <w:kern w:val="0"/>
          <w:lang w:eastAsia="en-US"/>
        </w:rPr>
        <w:tab/>
      </w:r>
      <w:r w:rsidR="008342E0">
        <w:rPr>
          <w:kern w:val="0"/>
          <w:lang w:eastAsia="en-US"/>
        </w:rPr>
        <w:tab/>
      </w:r>
      <w:r w:rsidRPr="008342E0">
        <w:rPr>
          <w:kern w:val="0"/>
          <w:lang w:eastAsia="en-US"/>
        </w:rPr>
        <w:t>Prokopa Holého 2007, Most 434 01</w:t>
      </w:r>
    </w:p>
    <w:p w:rsidR="00CE25B1" w:rsidRPr="00CE25B1" w:rsidRDefault="008342E0" w:rsidP="008342E0">
      <w:pPr>
        <w:widowControl w:val="0"/>
        <w:tabs>
          <w:tab w:val="left" w:pos="2835"/>
          <w:tab w:val="left" w:pos="2977"/>
          <w:tab w:val="left" w:pos="3828"/>
          <w:tab w:val="left" w:pos="4253"/>
          <w:tab w:val="left" w:pos="5387"/>
        </w:tabs>
        <w:spacing w:line="240" w:lineRule="auto"/>
        <w:ind w:left="1418"/>
        <w:contextualSpacing/>
        <w:rPr>
          <w:kern w:val="0"/>
          <w:lang w:eastAsia="cs-CZ"/>
        </w:rPr>
      </w:pPr>
      <w:r>
        <w:rPr>
          <w:kern w:val="0"/>
          <w:lang w:eastAsia="en-US"/>
        </w:rPr>
        <w:tab/>
      </w:r>
      <w:r w:rsidR="00CE25B1" w:rsidRPr="00CE25B1">
        <w:rPr>
          <w:kern w:val="0"/>
          <w:lang w:eastAsia="en-US"/>
        </w:rPr>
        <w:t>web:</w:t>
      </w:r>
      <w:r w:rsidR="00CE25B1" w:rsidRPr="00CE25B1">
        <w:rPr>
          <w:kern w:val="0"/>
          <w:lang w:eastAsia="en-US"/>
        </w:rPr>
        <w:tab/>
      </w:r>
      <w:r>
        <w:rPr>
          <w:kern w:val="0"/>
          <w:lang w:eastAsia="en-US"/>
        </w:rPr>
        <w:tab/>
      </w:r>
      <w:r w:rsidR="00CE25B1" w:rsidRPr="00CE25B1">
        <w:rPr>
          <w:kern w:val="0"/>
          <w:lang w:eastAsia="cs-CZ"/>
        </w:rPr>
        <w:t>www.ne2dprojekt.cz</w:t>
      </w:r>
    </w:p>
    <w:p w:rsidR="00CE25B1" w:rsidRPr="00CE25B1" w:rsidRDefault="008342E0" w:rsidP="008342E0">
      <w:pPr>
        <w:widowControl w:val="0"/>
        <w:tabs>
          <w:tab w:val="left" w:pos="2835"/>
          <w:tab w:val="left" w:pos="2977"/>
          <w:tab w:val="left" w:pos="3828"/>
          <w:tab w:val="left" w:pos="4253"/>
          <w:tab w:val="left" w:pos="5387"/>
        </w:tabs>
        <w:spacing w:line="240" w:lineRule="auto"/>
        <w:ind w:left="1418" w:right="-511"/>
        <w:contextualSpacing/>
        <w:rPr>
          <w:kern w:val="0"/>
          <w:lang w:eastAsia="cs-CZ"/>
        </w:rPr>
      </w:pPr>
      <w:r>
        <w:rPr>
          <w:kern w:val="0"/>
          <w:lang w:eastAsia="cs-CZ"/>
        </w:rPr>
        <w:tab/>
      </w:r>
      <w:r w:rsidR="00CE25B1" w:rsidRPr="00CE25B1">
        <w:rPr>
          <w:kern w:val="0"/>
          <w:lang w:eastAsia="cs-CZ"/>
        </w:rPr>
        <w:t>kontakt:</w:t>
      </w:r>
      <w:r w:rsidR="00CE25B1" w:rsidRPr="00CE25B1">
        <w:rPr>
          <w:kern w:val="0"/>
          <w:lang w:eastAsia="cs-CZ"/>
        </w:rPr>
        <w:tab/>
      </w:r>
      <w:r>
        <w:rPr>
          <w:kern w:val="0"/>
          <w:lang w:eastAsia="cs-CZ"/>
        </w:rPr>
        <w:tab/>
      </w:r>
      <w:r w:rsidR="00CE25B1" w:rsidRPr="00CE25B1">
        <w:rPr>
          <w:kern w:val="0"/>
          <w:lang w:eastAsia="cs-CZ"/>
        </w:rPr>
        <w:t>732 207 900</w:t>
      </w:r>
    </w:p>
    <w:p w:rsidR="00CE25B1" w:rsidRPr="00CE25B1" w:rsidRDefault="008342E0" w:rsidP="008342E0">
      <w:pPr>
        <w:widowControl w:val="0"/>
        <w:tabs>
          <w:tab w:val="left" w:pos="2835"/>
          <w:tab w:val="left" w:pos="2977"/>
          <w:tab w:val="left" w:pos="3828"/>
          <w:tab w:val="left" w:pos="4253"/>
          <w:tab w:val="left" w:pos="5387"/>
        </w:tabs>
        <w:spacing w:line="240" w:lineRule="auto"/>
        <w:ind w:left="1418" w:right="-511"/>
        <w:contextualSpacing/>
        <w:rPr>
          <w:kern w:val="0"/>
          <w:lang w:eastAsia="cs-CZ"/>
        </w:rPr>
      </w:pPr>
      <w:r>
        <w:rPr>
          <w:kern w:val="0"/>
          <w:lang w:eastAsia="cs-CZ"/>
        </w:rPr>
        <w:tab/>
      </w:r>
      <w:r w:rsidR="00CE25B1" w:rsidRPr="00CE25B1">
        <w:rPr>
          <w:kern w:val="0"/>
          <w:lang w:eastAsia="cs-CZ"/>
        </w:rPr>
        <w:t xml:space="preserve">email: </w:t>
      </w:r>
      <w:r w:rsidR="00CE25B1" w:rsidRPr="00CE25B1">
        <w:rPr>
          <w:kern w:val="0"/>
          <w:lang w:eastAsia="cs-CZ"/>
        </w:rPr>
        <w:tab/>
      </w:r>
      <w:r>
        <w:rPr>
          <w:kern w:val="0"/>
          <w:lang w:eastAsia="cs-CZ"/>
        </w:rPr>
        <w:tab/>
      </w:r>
      <w:r w:rsidR="00CE25B1" w:rsidRPr="00CE25B1">
        <w:rPr>
          <w:kern w:val="0"/>
          <w:lang w:eastAsia="cs-CZ"/>
        </w:rPr>
        <w:t>doprava@ne2dprojekt.cz</w:t>
      </w:r>
    </w:p>
    <w:p w:rsidR="00CE25B1" w:rsidRPr="00CE25B1" w:rsidRDefault="008342E0" w:rsidP="008342E0">
      <w:pPr>
        <w:widowControl w:val="0"/>
        <w:tabs>
          <w:tab w:val="left" w:pos="2835"/>
          <w:tab w:val="left" w:pos="2977"/>
          <w:tab w:val="left" w:pos="3828"/>
          <w:tab w:val="left" w:pos="4253"/>
          <w:tab w:val="left" w:pos="5387"/>
        </w:tabs>
        <w:spacing w:line="240" w:lineRule="auto"/>
        <w:ind w:left="1418" w:right="-511"/>
        <w:contextualSpacing/>
        <w:rPr>
          <w:kern w:val="0"/>
          <w:lang w:eastAsia="cs-CZ"/>
        </w:rPr>
      </w:pPr>
      <w:r>
        <w:rPr>
          <w:kern w:val="0"/>
          <w:lang w:eastAsia="cs-CZ"/>
        </w:rPr>
        <w:tab/>
      </w:r>
      <w:r w:rsidR="00CE25B1" w:rsidRPr="00CE25B1">
        <w:rPr>
          <w:kern w:val="0"/>
          <w:lang w:eastAsia="cs-CZ"/>
        </w:rPr>
        <w:t>IČ:</w:t>
      </w:r>
      <w:r w:rsidR="00CE25B1" w:rsidRPr="00CE25B1">
        <w:rPr>
          <w:kern w:val="0"/>
          <w:lang w:eastAsia="cs-CZ"/>
        </w:rPr>
        <w:tab/>
      </w:r>
      <w:r>
        <w:rPr>
          <w:kern w:val="0"/>
          <w:lang w:eastAsia="cs-CZ"/>
        </w:rPr>
        <w:tab/>
      </w:r>
      <w:r w:rsidR="00CE25B1" w:rsidRPr="00CE25B1">
        <w:rPr>
          <w:kern w:val="0"/>
          <w:lang w:eastAsia="cs-CZ"/>
        </w:rPr>
        <w:t>22801014</w:t>
      </w:r>
    </w:p>
    <w:p w:rsidR="00CE25B1" w:rsidRPr="00CE25B1" w:rsidRDefault="008342E0" w:rsidP="008342E0">
      <w:pPr>
        <w:widowControl w:val="0"/>
        <w:tabs>
          <w:tab w:val="left" w:pos="2835"/>
          <w:tab w:val="left" w:pos="2977"/>
          <w:tab w:val="left" w:pos="3828"/>
          <w:tab w:val="left" w:pos="4253"/>
          <w:tab w:val="left" w:pos="5387"/>
        </w:tabs>
        <w:spacing w:line="240" w:lineRule="auto"/>
        <w:ind w:left="1418" w:right="-511"/>
        <w:contextualSpacing/>
        <w:rPr>
          <w:kern w:val="0"/>
          <w:lang w:eastAsia="cs-CZ"/>
        </w:rPr>
      </w:pPr>
      <w:r>
        <w:rPr>
          <w:kern w:val="0"/>
          <w:lang w:eastAsia="cs-CZ"/>
        </w:rPr>
        <w:tab/>
      </w:r>
      <w:r w:rsidR="00CE25B1" w:rsidRPr="00CE25B1">
        <w:rPr>
          <w:kern w:val="0"/>
          <w:lang w:eastAsia="cs-CZ"/>
        </w:rPr>
        <w:t>DIČ:</w:t>
      </w:r>
      <w:r w:rsidR="00CE25B1" w:rsidRPr="00CE25B1">
        <w:rPr>
          <w:kern w:val="0"/>
          <w:lang w:eastAsia="cs-CZ"/>
        </w:rPr>
        <w:tab/>
      </w:r>
      <w:r>
        <w:rPr>
          <w:kern w:val="0"/>
          <w:lang w:eastAsia="cs-CZ"/>
        </w:rPr>
        <w:tab/>
      </w:r>
      <w:r w:rsidR="00CE25B1" w:rsidRPr="00CE25B1">
        <w:rPr>
          <w:kern w:val="0"/>
          <w:lang w:eastAsia="cs-CZ"/>
        </w:rPr>
        <w:t>CZ22801014</w:t>
      </w:r>
    </w:p>
    <w:p w:rsidR="00447AE6" w:rsidRDefault="00557BF7" w:rsidP="00CE25B1">
      <w:pPr>
        <w:pStyle w:val="text1"/>
        <w:ind w:left="2195" w:firstLine="641"/>
        <w:rPr>
          <w:noProof/>
        </w:rPr>
      </w:pPr>
      <w:r>
        <w:rPr>
          <w:rFonts w:cs="Tahoma"/>
        </w:rPr>
        <w:t xml:space="preserve">odp. projektant: </w:t>
      </w:r>
      <w:r w:rsidRPr="00195D1B">
        <w:rPr>
          <w:noProof/>
        </w:rPr>
        <w:t xml:space="preserve">Ing. </w:t>
      </w:r>
      <w:r>
        <w:rPr>
          <w:noProof/>
        </w:rPr>
        <w:t>Jiří Nedvěd; ČKAIT - 0402268</w:t>
      </w:r>
    </w:p>
    <w:p w:rsidR="00CE25B1" w:rsidRDefault="00CE25B1" w:rsidP="00447AE6"/>
    <w:p w:rsidR="00191A13" w:rsidRPr="00447AE6" w:rsidRDefault="00191A13"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t>Stručný technický popis se zdůvodněním navrženého řešení</w:t>
      </w:r>
    </w:p>
    <w:p w:rsidR="001E0A9F" w:rsidRDefault="00573E58" w:rsidP="001E0A9F">
      <w:pPr>
        <w:widowControl w:val="0"/>
        <w:tabs>
          <w:tab w:val="left" w:pos="4253"/>
        </w:tabs>
        <w:spacing w:line="240" w:lineRule="auto"/>
      </w:pPr>
      <w:r w:rsidRPr="00765A17">
        <w:t xml:space="preserve">Stavba se nachází v </w:t>
      </w:r>
      <w:r w:rsidRPr="00051390">
        <w:t xml:space="preserve">katastrálním území </w:t>
      </w:r>
      <w:proofErr w:type="spellStart"/>
      <w:r w:rsidRPr="00051390">
        <w:t>Encovany</w:t>
      </w:r>
      <w:proofErr w:type="spellEnd"/>
      <w:r w:rsidRPr="00051390">
        <w:t xml:space="preserve"> na pozemcích p. č. </w:t>
      </w:r>
      <w:r w:rsidRPr="00051390">
        <w:rPr>
          <w:lang w:eastAsia="en-US"/>
        </w:rPr>
        <w:t>3063/1; 3065/1; 3065/2</w:t>
      </w:r>
      <w:r w:rsidRPr="00051390">
        <w:t xml:space="preserve">. Předmětem projektu je rekonstrukce stávající příjezdové cesty k rodinným domům. Návrh řeší rekonstrukci stávající příjezdové komunikace, která je v současnosti řešená jako polní cesta se štěrkovým povrchem, nově je komunikace navržena jako asfaltová s kompletní konstrukcí. Projekt dále řeší odvodnění komunikace, </w:t>
      </w:r>
      <w:r>
        <w:t>b</w:t>
      </w:r>
      <w:r w:rsidRPr="00051390">
        <w:t xml:space="preserve">ourání stávající opěrné zídky a úpravy přilehlé zeleně. </w:t>
      </w:r>
      <w:r w:rsidRPr="00051390">
        <w:rPr>
          <w:lang w:eastAsia="en-US"/>
        </w:rPr>
        <w:t xml:space="preserve">Dle územního plánu obce se jedná o zastavěné území. V současné době </w:t>
      </w:r>
      <w:r w:rsidRPr="00573E58">
        <w:rPr>
          <w:lang w:eastAsia="en-US"/>
        </w:rPr>
        <w:t>je zájmové území využíváno jako ostatní komunikace a silnice. Stavba je v souladu s územním plánem obce</w:t>
      </w:r>
      <w:r w:rsidR="001E0A9F" w:rsidRPr="00573E58">
        <w:t>.</w:t>
      </w:r>
    </w:p>
    <w:p w:rsidR="00191A13" w:rsidRPr="00447AE6" w:rsidRDefault="00191A13"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t xml:space="preserve">Vyhodnocení průzkumů a podkladů, </w:t>
      </w:r>
      <w:r w:rsidR="003E5C13">
        <w:rPr>
          <w:rFonts w:asciiTheme="minorHAnsi" w:hAnsiTheme="minorHAnsi" w:cstheme="minorHAnsi"/>
          <w:b/>
          <w:i w:val="0"/>
        </w:rPr>
        <w:t>včetně</w:t>
      </w:r>
      <w:r w:rsidRPr="00447AE6">
        <w:rPr>
          <w:rFonts w:asciiTheme="minorHAnsi" w:hAnsiTheme="minorHAnsi" w:cstheme="minorHAnsi"/>
          <w:b/>
          <w:i w:val="0"/>
        </w:rPr>
        <w:t xml:space="preserve"> jejich užití v dokumentaci</w:t>
      </w:r>
    </w:p>
    <w:p w:rsidR="001E0A9F" w:rsidRDefault="001E0A9F" w:rsidP="001E0A9F">
      <w:r>
        <w:t xml:space="preserve">V rámci projektu </w:t>
      </w:r>
      <w:r w:rsidRPr="00665B30">
        <w:t>byla provedena základní rekognoskace terénu. Geologické a hydrogeologické podmínky stavebního pozemku jsou známé. Byl proveden jednoduchý dopravní průzkum, další dopravní údaje projekt nevyžaduje.</w:t>
      </w:r>
    </w:p>
    <w:p w:rsidR="001E0A9F" w:rsidRDefault="001E0A9F" w:rsidP="001E0A9F"/>
    <w:p w:rsidR="003C06AE" w:rsidRPr="00143549" w:rsidRDefault="003C06AE" w:rsidP="003C06AE">
      <w:pPr>
        <w:rPr>
          <w:u w:val="single"/>
        </w:rPr>
      </w:pPr>
      <w:r w:rsidRPr="00143549">
        <w:rPr>
          <w:u w:val="single"/>
        </w:rPr>
        <w:t xml:space="preserve">Obecné požadavky na výstavbu </w:t>
      </w:r>
    </w:p>
    <w:p w:rsidR="003C06AE" w:rsidRPr="00143549" w:rsidRDefault="003C06AE" w:rsidP="003C06AE">
      <w:r w:rsidRPr="00143549">
        <w:t xml:space="preserve">Stavba musí být v souladu s normami ČSN a požadovanými technologickými postupy. Pokud se týká stavebních technických norem, musí být vždy respektovány nejnovější normy a předpisy, platné k datu poslední inspekce (kolaudace), pokud se ovšem nejedná o normy, které mají pozdější datum zahájení platnosti. Při realizaci soulad s jednotlivými technickými požadavky výrobců použitých prvků. </w:t>
      </w:r>
    </w:p>
    <w:p w:rsidR="003C06AE" w:rsidRPr="00143549" w:rsidRDefault="003C06AE" w:rsidP="003C06AE">
      <w:r w:rsidRPr="00143549">
        <w:lastRenderedPageBreak/>
        <w:t xml:space="preserve">ČSN 73 4130 </w:t>
      </w:r>
      <w:r>
        <w:tab/>
        <w:t xml:space="preserve"> </w:t>
      </w:r>
      <w:r w:rsidRPr="00143549">
        <w:t xml:space="preserve">Schodiště a šikmé rampy </w:t>
      </w:r>
    </w:p>
    <w:p w:rsidR="003C06AE" w:rsidRPr="00143549" w:rsidRDefault="003C06AE" w:rsidP="003C06AE">
      <w:r w:rsidRPr="00143549">
        <w:t xml:space="preserve">ČSN 73 3050 </w:t>
      </w:r>
      <w:r>
        <w:tab/>
        <w:t xml:space="preserve"> </w:t>
      </w:r>
      <w:r w:rsidRPr="00143549">
        <w:t xml:space="preserve">Zemní práce – Všeobecné ustanovení </w:t>
      </w:r>
    </w:p>
    <w:p w:rsidR="003C06AE" w:rsidRPr="00143549" w:rsidRDefault="003C06AE" w:rsidP="003C06AE">
      <w:r w:rsidRPr="00143549">
        <w:t xml:space="preserve">ČSN 72 1016 </w:t>
      </w:r>
      <w:r>
        <w:tab/>
        <w:t xml:space="preserve"> </w:t>
      </w:r>
      <w:r w:rsidRPr="00143549">
        <w:t xml:space="preserve">Laboratorní stanovení poměru únosnosti zemin </w:t>
      </w:r>
    </w:p>
    <w:p w:rsidR="003C06AE" w:rsidRPr="00143549" w:rsidRDefault="003C06AE" w:rsidP="003C06AE">
      <w:r w:rsidRPr="00143549">
        <w:t xml:space="preserve">ČSN 72 1015 </w:t>
      </w:r>
      <w:r>
        <w:tab/>
        <w:t xml:space="preserve"> </w:t>
      </w:r>
      <w:r w:rsidRPr="00143549">
        <w:t xml:space="preserve">Laboratorní stanovení zhutnitelnosti zemin </w:t>
      </w:r>
    </w:p>
    <w:p w:rsidR="003C06AE" w:rsidRPr="00143549" w:rsidRDefault="003C06AE" w:rsidP="003C06AE">
      <w:r w:rsidRPr="00143549">
        <w:t xml:space="preserve">ISO 4463 část 1-3 Měřící metody ve výstavbě – vytyčování a měření </w:t>
      </w:r>
    </w:p>
    <w:p w:rsidR="003C06AE" w:rsidRPr="00143549" w:rsidRDefault="003C06AE" w:rsidP="003C06AE">
      <w:r w:rsidRPr="00143549">
        <w:t xml:space="preserve">ČSN EN 1436 </w:t>
      </w:r>
      <w:r>
        <w:tab/>
        <w:t xml:space="preserve"> </w:t>
      </w:r>
      <w:r w:rsidRPr="00143549">
        <w:t xml:space="preserve">Vodorovné dopravní značení – Požadavky na dopravní značení </w:t>
      </w:r>
    </w:p>
    <w:p w:rsidR="003C06AE" w:rsidRPr="00143549" w:rsidRDefault="003C06AE" w:rsidP="003C06AE">
      <w:r w:rsidRPr="00143549">
        <w:t xml:space="preserve">ČSN 01 8020 </w:t>
      </w:r>
      <w:r>
        <w:tab/>
        <w:t xml:space="preserve"> </w:t>
      </w:r>
      <w:r w:rsidRPr="00143549">
        <w:t xml:space="preserve">Dopravní značky na pozemních komunikacích </w:t>
      </w:r>
    </w:p>
    <w:p w:rsidR="003C06AE" w:rsidRPr="00143549" w:rsidRDefault="003C06AE" w:rsidP="003C06AE">
      <w:r w:rsidRPr="00143549">
        <w:t>ČSN 72 1002</w:t>
      </w:r>
      <w:r>
        <w:tab/>
      </w:r>
      <w:r w:rsidRPr="00143549">
        <w:t xml:space="preserve"> Klasifikace zemin pro pozemní komunikace </w:t>
      </w:r>
    </w:p>
    <w:p w:rsidR="003C06AE" w:rsidRPr="00143549" w:rsidRDefault="003C06AE" w:rsidP="003C06AE">
      <w:r w:rsidRPr="00143549">
        <w:t>ČSN 72 1006</w:t>
      </w:r>
      <w:r>
        <w:tab/>
      </w:r>
      <w:r w:rsidRPr="00143549">
        <w:t xml:space="preserve"> Kontrola zhutnění zeminy a sypanin </w:t>
      </w:r>
    </w:p>
    <w:p w:rsidR="003C06AE" w:rsidRPr="00143549" w:rsidRDefault="003C06AE" w:rsidP="003C06AE">
      <w:r w:rsidRPr="00143549">
        <w:t xml:space="preserve">ČSN 72 1010 </w:t>
      </w:r>
      <w:r>
        <w:tab/>
      </w:r>
      <w:r w:rsidRPr="00143549">
        <w:t xml:space="preserve">Stanovení objemové hmotnosti zemin </w:t>
      </w:r>
    </w:p>
    <w:p w:rsidR="003C06AE" w:rsidRPr="00143549" w:rsidRDefault="003C06AE" w:rsidP="003C06AE">
      <w:r w:rsidRPr="00143549">
        <w:t xml:space="preserve">ČSN 72 1012 </w:t>
      </w:r>
      <w:r>
        <w:tab/>
      </w:r>
      <w:r w:rsidRPr="00143549">
        <w:t xml:space="preserve">Laboratorní stanovení vlhkosti zemin </w:t>
      </w:r>
    </w:p>
    <w:p w:rsidR="003C06AE" w:rsidRPr="00143549" w:rsidRDefault="003C06AE" w:rsidP="003C06AE">
      <w:r w:rsidRPr="00143549">
        <w:t xml:space="preserve">ČSN 72 1015 </w:t>
      </w:r>
      <w:r>
        <w:tab/>
      </w:r>
      <w:r w:rsidRPr="00143549">
        <w:t xml:space="preserve">Laboratorní postupy stanovení zhutnitelnosti zeminy </w:t>
      </w:r>
    </w:p>
    <w:p w:rsidR="003C06AE" w:rsidRPr="00143549" w:rsidRDefault="003C06AE" w:rsidP="003C06AE">
      <w:r w:rsidRPr="00143549">
        <w:t xml:space="preserve">ČSN 72 1510 </w:t>
      </w:r>
      <w:r>
        <w:tab/>
      </w:r>
      <w:r w:rsidRPr="00143549">
        <w:t xml:space="preserve">Kamenivo pro stavební účely. Názvosloví a klasifikace </w:t>
      </w:r>
    </w:p>
    <w:p w:rsidR="003C06AE" w:rsidRPr="00143549" w:rsidRDefault="003C06AE" w:rsidP="003C06AE">
      <w:r w:rsidRPr="00143549">
        <w:t xml:space="preserve">ČSN 72 1511 </w:t>
      </w:r>
      <w:r>
        <w:tab/>
      </w:r>
      <w:r w:rsidRPr="00143549">
        <w:t xml:space="preserve">Kamenivo pro stavební účely. Základní ustanovení </w:t>
      </w:r>
    </w:p>
    <w:p w:rsidR="003C06AE" w:rsidRPr="00143549" w:rsidRDefault="003C06AE" w:rsidP="003C06AE">
      <w:r w:rsidRPr="00143549">
        <w:t xml:space="preserve">ČSN 73 3050 </w:t>
      </w:r>
      <w:r>
        <w:tab/>
      </w:r>
      <w:r w:rsidRPr="00143549">
        <w:t xml:space="preserve">Zemní práce. Všeobecné požadavky. </w:t>
      </w:r>
    </w:p>
    <w:p w:rsidR="003C06AE" w:rsidRDefault="003C06AE" w:rsidP="003C06AE">
      <w:r w:rsidRPr="00143549">
        <w:t xml:space="preserve">ČSN 73 6114 </w:t>
      </w:r>
      <w:r>
        <w:tab/>
      </w:r>
      <w:r w:rsidRPr="00143549">
        <w:t>Vozovky pozemních komunikací. Základní ustanovení pro navrhování</w:t>
      </w:r>
    </w:p>
    <w:p w:rsidR="003C06AE" w:rsidRPr="001D3CE1" w:rsidRDefault="003C06AE" w:rsidP="003C06AE">
      <w:r w:rsidRPr="001D3CE1">
        <w:t>ČSN 73 6131</w:t>
      </w:r>
      <w:r>
        <w:tab/>
      </w:r>
      <w:r w:rsidRPr="001D3CE1">
        <w:t xml:space="preserve"> Dlažby a dílce </w:t>
      </w:r>
    </w:p>
    <w:p w:rsidR="003C06AE" w:rsidRPr="001D3CE1" w:rsidRDefault="003C06AE" w:rsidP="003C06AE">
      <w:r w:rsidRPr="001D3CE1">
        <w:t xml:space="preserve">ČSN EN 14227 -1;13 Kamenivo stmelené hydraulickým pojivem </w:t>
      </w:r>
    </w:p>
    <w:p w:rsidR="003C06AE" w:rsidRPr="001D3CE1" w:rsidRDefault="003C06AE" w:rsidP="003C06AE">
      <w:r w:rsidRPr="001D3CE1">
        <w:t>ČSN EN 13108</w:t>
      </w:r>
      <w:r>
        <w:tab/>
      </w:r>
      <w:r w:rsidRPr="001D3CE1">
        <w:t xml:space="preserve"> Hutněné asfaltové směsi </w:t>
      </w:r>
    </w:p>
    <w:p w:rsidR="003C06AE" w:rsidRPr="001D3CE1" w:rsidRDefault="003C06AE" w:rsidP="003C06AE">
      <w:r w:rsidRPr="001D3CE1">
        <w:t>ČSN 73 6125</w:t>
      </w:r>
      <w:r>
        <w:tab/>
      </w:r>
      <w:r w:rsidRPr="001D3CE1">
        <w:t xml:space="preserve"> Stabilizované podklady </w:t>
      </w:r>
    </w:p>
    <w:p w:rsidR="003C06AE" w:rsidRPr="001D3CE1" w:rsidRDefault="003C06AE" w:rsidP="003C06AE">
      <w:r w:rsidRPr="001D3CE1">
        <w:t>ČSN EN 13285</w:t>
      </w:r>
      <w:r>
        <w:tab/>
      </w:r>
      <w:r w:rsidRPr="001D3CE1">
        <w:t xml:space="preserve"> Nestmelené vrstvy </w:t>
      </w:r>
    </w:p>
    <w:p w:rsidR="003C06AE" w:rsidRPr="001D3CE1" w:rsidRDefault="003C06AE" w:rsidP="003C06AE">
      <w:r w:rsidRPr="001D3CE1">
        <w:t>ČSN 73 6190</w:t>
      </w:r>
      <w:r>
        <w:tab/>
      </w:r>
      <w:r w:rsidRPr="001D3CE1">
        <w:t xml:space="preserve"> Statická zatěžovací zkouška podloží a podkladních vrstev </w:t>
      </w:r>
    </w:p>
    <w:p w:rsidR="003C06AE" w:rsidRPr="001D3CE1" w:rsidRDefault="003C06AE" w:rsidP="003C06AE">
      <w:r w:rsidRPr="001D3CE1">
        <w:t xml:space="preserve">vozovek </w:t>
      </w:r>
    </w:p>
    <w:p w:rsidR="003C06AE" w:rsidRPr="001D3CE1" w:rsidRDefault="003C06AE" w:rsidP="003C06AE">
      <w:r w:rsidRPr="001D3CE1">
        <w:t>ČSN 73 6192</w:t>
      </w:r>
      <w:r>
        <w:tab/>
      </w:r>
      <w:r w:rsidRPr="001D3CE1">
        <w:t xml:space="preserve"> Rázové zatěžovací zkoušky vozovek a podloží </w:t>
      </w:r>
    </w:p>
    <w:p w:rsidR="003C06AE" w:rsidRPr="001D3CE1" w:rsidRDefault="003C06AE" w:rsidP="003C06AE">
      <w:r w:rsidRPr="001D3CE1">
        <w:t>ČSN 73 6110</w:t>
      </w:r>
      <w:r>
        <w:tab/>
      </w:r>
      <w:r w:rsidRPr="001D3CE1">
        <w:t xml:space="preserve"> Projektování místních komunikací,změna Z1 </w:t>
      </w:r>
    </w:p>
    <w:p w:rsidR="003C06AE" w:rsidRPr="001D3CE1" w:rsidRDefault="003C06AE" w:rsidP="003C06AE">
      <w:r w:rsidRPr="001D3CE1">
        <w:t>ČSN 73 6102</w:t>
      </w:r>
      <w:r>
        <w:tab/>
      </w:r>
      <w:r w:rsidRPr="001D3CE1">
        <w:t xml:space="preserve"> Projektování křižovatek na pozemních komunikacích </w:t>
      </w:r>
    </w:p>
    <w:p w:rsidR="003C06AE" w:rsidRPr="001D3CE1" w:rsidRDefault="003C06AE" w:rsidP="003C06AE">
      <w:r w:rsidRPr="001D3CE1">
        <w:t xml:space="preserve">TP 65, TP 85, TP 170 </w:t>
      </w:r>
    </w:p>
    <w:p w:rsidR="003C06AE" w:rsidRDefault="003C06AE" w:rsidP="003C06AE"/>
    <w:p w:rsidR="003C06AE" w:rsidRDefault="003C06AE" w:rsidP="003C06AE">
      <w:r w:rsidRPr="001D3CE1">
        <w:t xml:space="preserve">Přehled nejdůležitějších právních předpisů, které byly jako závazné právní podklady použity a jejichž požadavky byly zapracovány do dokumentace a návrhu stavby: </w:t>
      </w:r>
    </w:p>
    <w:p w:rsidR="003C06AE" w:rsidRPr="001D3CE1" w:rsidRDefault="003C06AE" w:rsidP="003C06AE"/>
    <w:p w:rsidR="003C06AE" w:rsidRPr="00982E09" w:rsidRDefault="003C06AE" w:rsidP="003C06AE">
      <w:r w:rsidRPr="00982E09">
        <w:t xml:space="preserve">Zákon č. 283/2021 Sb. </w:t>
      </w:r>
      <w:r>
        <w:t>S</w:t>
      </w:r>
      <w:r w:rsidRPr="00982E09">
        <w:t xml:space="preserve">tavební zákon </w:t>
      </w:r>
    </w:p>
    <w:p w:rsidR="003C06AE" w:rsidRPr="00982E09" w:rsidRDefault="003C06AE" w:rsidP="003C06AE">
      <w:r w:rsidRPr="00982E09">
        <w:t>Zákon č. 13/1997 Sb</w:t>
      </w:r>
      <w:r>
        <w:t>. Zákon</w:t>
      </w:r>
      <w:r w:rsidRPr="00982E09">
        <w:t xml:space="preserve"> o pozemních komunikacích </w:t>
      </w:r>
    </w:p>
    <w:p w:rsidR="003C06AE" w:rsidRPr="00982E09" w:rsidRDefault="003C06AE" w:rsidP="003C06AE">
      <w:r w:rsidRPr="00982E09">
        <w:t>Vyhláška č.</w:t>
      </w:r>
      <w:r>
        <w:t xml:space="preserve"> </w:t>
      </w:r>
      <w:r w:rsidRPr="00982E09">
        <w:t xml:space="preserve">146/2024 Sb. Vyhláška o požadavcích na výstavbu </w:t>
      </w:r>
    </w:p>
    <w:p w:rsidR="003C06AE" w:rsidRPr="00982E09" w:rsidRDefault="003C06AE" w:rsidP="003C06AE">
      <w:r w:rsidRPr="00982E09">
        <w:t xml:space="preserve">Vyhláška č. 104/1997 Sb. </w:t>
      </w:r>
      <w:r>
        <w:t>Vyhláška Ministerstva dopravy a spojů, kterou se provádí zákon o pozemních komunikacích</w:t>
      </w:r>
      <w:r w:rsidRPr="00982E09">
        <w:t xml:space="preserve"> </w:t>
      </w:r>
    </w:p>
    <w:p w:rsidR="003C06AE" w:rsidRDefault="003C06AE" w:rsidP="003C06AE">
      <w:r w:rsidRPr="00982E09">
        <w:t>Vyhláška č.</w:t>
      </w:r>
      <w:r>
        <w:t xml:space="preserve"> </w:t>
      </w:r>
      <w:r w:rsidRPr="00982E09">
        <w:t xml:space="preserve">23/2008 </w:t>
      </w:r>
      <w:r>
        <w:t xml:space="preserve">Sb. Vyhláška </w:t>
      </w:r>
      <w:r w:rsidRPr="00982E09">
        <w:t>o technických podmínkách požární ochrany staveb</w:t>
      </w:r>
    </w:p>
    <w:p w:rsidR="003C06AE" w:rsidRPr="009B3C46" w:rsidRDefault="003C06AE" w:rsidP="003C06AE">
      <w:r>
        <w:t>Nařízení vlády</w:t>
      </w:r>
      <w:r w:rsidRPr="009B3C46">
        <w:t xml:space="preserve"> </w:t>
      </w:r>
      <w:r>
        <w:t xml:space="preserve">č. </w:t>
      </w:r>
      <w:r w:rsidRPr="009B3C46">
        <w:t xml:space="preserve">591/2006 Sb. O bližších minimálních požadavcích na bezpečnost a ochranu zdraví při práci na staveništích </w:t>
      </w:r>
    </w:p>
    <w:p w:rsidR="003C06AE" w:rsidRPr="009B3C46" w:rsidRDefault="003C06AE" w:rsidP="003C06AE">
      <w:r w:rsidRPr="009B3C46">
        <w:t xml:space="preserve">pozdějších předpisů </w:t>
      </w:r>
    </w:p>
    <w:p w:rsidR="003C06AE" w:rsidRPr="009B3C46" w:rsidRDefault="003C06AE" w:rsidP="003C06AE">
      <w:r>
        <w:t>Nařízení vlády č.</w:t>
      </w:r>
      <w:r w:rsidRPr="009B3C46">
        <w:t xml:space="preserve"> 362/2005 Sb. Nařízení vlády o bližších požadavcích na bezpečnost a ochranu zdraví při práci na pracovištích s nebezpečím pádu z výšky nebo do hloubky </w:t>
      </w:r>
    </w:p>
    <w:p w:rsidR="003C06AE" w:rsidRPr="00EF09B0" w:rsidRDefault="003C06AE" w:rsidP="003C06AE">
      <w:r w:rsidRPr="00EF09B0">
        <w:t xml:space="preserve">Zákon č. 309/2006 Sb. </w:t>
      </w:r>
      <w:r>
        <w:t>Z</w:t>
      </w:r>
      <w:r w:rsidRPr="00EF09B0">
        <w:t xml:space="preserve">ákon, kterým se upravují další požadavky na bezpečnost a ochranu zdraví při práci v pracovněprávních vztazích </w:t>
      </w:r>
      <w:r w:rsidRPr="00EF09B0">
        <w:rPr>
          <w:iCs/>
        </w:rPr>
        <w:t>a o zajištění bezpečnosti a ochrany zdraví při činnosti nebo poskytování služeb mimo pracovněprávní vztahy (zákon o zajištění dalších podmínek bezpečnosti a ochrany zdraví při práci)</w:t>
      </w:r>
    </w:p>
    <w:p w:rsidR="003C06AE" w:rsidRPr="0099326A" w:rsidRDefault="003C06AE" w:rsidP="003C06AE">
      <w:r w:rsidRPr="00244511">
        <w:t xml:space="preserve">Vyhláška č. 48/1982 Sb., Vyhláška Českého úřadu bezpečnosti práce, kterou se stanoví základní požadavky k zajištění bezpečnosti práce a technických zařízení </w:t>
      </w:r>
    </w:p>
    <w:p w:rsidR="00191A13" w:rsidRPr="00573E58" w:rsidRDefault="00184C5D" w:rsidP="00447AE6">
      <w:pPr>
        <w:pStyle w:val="Nadpis2"/>
        <w:numPr>
          <w:ilvl w:val="0"/>
          <w:numId w:val="14"/>
        </w:numPr>
        <w:rPr>
          <w:rFonts w:asciiTheme="minorHAnsi" w:hAnsiTheme="minorHAnsi" w:cstheme="minorHAnsi"/>
          <w:b/>
          <w:i w:val="0"/>
        </w:rPr>
      </w:pPr>
      <w:r>
        <w:rPr>
          <w:rFonts w:asciiTheme="minorHAnsi" w:hAnsiTheme="minorHAnsi" w:cstheme="minorHAnsi"/>
          <w:b/>
          <w:i w:val="0"/>
        </w:rPr>
        <w:lastRenderedPageBreak/>
        <w:t xml:space="preserve">Vztahy </w:t>
      </w:r>
      <w:r w:rsidRPr="00573E58">
        <w:rPr>
          <w:rFonts w:asciiTheme="minorHAnsi" w:hAnsiTheme="minorHAnsi" w:cstheme="minorHAnsi"/>
          <w:b/>
          <w:i w:val="0"/>
        </w:rPr>
        <w:t>pozemní komunikace</w:t>
      </w:r>
      <w:r w:rsidR="00191A13" w:rsidRPr="00573E58">
        <w:rPr>
          <w:rFonts w:asciiTheme="minorHAnsi" w:hAnsiTheme="minorHAnsi" w:cstheme="minorHAnsi"/>
          <w:b/>
          <w:i w:val="0"/>
        </w:rPr>
        <w:t xml:space="preserve"> k ostatním objektům stavby </w:t>
      </w:r>
    </w:p>
    <w:p w:rsidR="001E0A9F" w:rsidRPr="00573E58" w:rsidRDefault="001E0A9F" w:rsidP="001E0A9F">
      <w:pPr>
        <w:widowControl w:val="0"/>
        <w:spacing w:line="240" w:lineRule="auto"/>
        <w:contextualSpacing/>
        <w:rPr>
          <w:kern w:val="0"/>
          <w:lang w:eastAsia="en-US"/>
        </w:rPr>
      </w:pPr>
      <w:r w:rsidRPr="00573E58">
        <w:rPr>
          <w:kern w:val="0"/>
          <w:lang w:eastAsia="en-US"/>
        </w:rPr>
        <w:t>Stavba je členěna na objekty:</w:t>
      </w:r>
    </w:p>
    <w:p w:rsidR="001E0A9F" w:rsidRPr="00573E58" w:rsidRDefault="001E0A9F" w:rsidP="001E0A9F">
      <w:pPr>
        <w:widowControl w:val="0"/>
        <w:numPr>
          <w:ilvl w:val="0"/>
          <w:numId w:val="16"/>
        </w:numPr>
        <w:suppressAutoHyphens w:val="0"/>
        <w:spacing w:after="200" w:line="240" w:lineRule="auto"/>
        <w:contextualSpacing/>
        <w:jc w:val="left"/>
        <w:rPr>
          <w:kern w:val="0"/>
          <w:lang w:eastAsia="en-US"/>
        </w:rPr>
      </w:pPr>
      <w:r w:rsidRPr="00573E58">
        <w:rPr>
          <w:kern w:val="0"/>
          <w:lang w:eastAsia="en-US"/>
        </w:rPr>
        <w:t>100 Objekty pozemních komunikací</w:t>
      </w:r>
    </w:p>
    <w:p w:rsidR="001E0A9F" w:rsidRPr="00573E58" w:rsidRDefault="001E0A9F" w:rsidP="001E0A9F">
      <w:pPr>
        <w:widowControl w:val="0"/>
        <w:spacing w:line="240" w:lineRule="auto"/>
        <w:ind w:left="1276"/>
        <w:contextualSpacing/>
        <w:rPr>
          <w:kern w:val="0"/>
          <w:lang w:eastAsia="en-US"/>
        </w:rPr>
      </w:pPr>
      <w:r w:rsidRPr="00573E58">
        <w:rPr>
          <w:kern w:val="0"/>
          <w:lang w:eastAsia="en-US"/>
        </w:rPr>
        <w:t xml:space="preserve">SO 101 - </w:t>
      </w:r>
      <w:r w:rsidR="00573E58" w:rsidRPr="00573E58">
        <w:rPr>
          <w:kern w:val="0"/>
          <w:lang w:eastAsia="en-US"/>
        </w:rPr>
        <w:t>Komunikace</w:t>
      </w:r>
      <w:r w:rsidRPr="00573E58">
        <w:rPr>
          <w:kern w:val="0"/>
          <w:lang w:eastAsia="en-US"/>
        </w:rPr>
        <w:t xml:space="preserve"> </w:t>
      </w:r>
    </w:p>
    <w:p w:rsidR="00191A13" w:rsidRPr="00447AE6" w:rsidRDefault="00191A13"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t>Návrh zpevněných ploch včetně případných výpočtů</w:t>
      </w:r>
    </w:p>
    <w:p w:rsidR="00191A13" w:rsidRPr="007D0D12" w:rsidRDefault="00191A13" w:rsidP="0099586E">
      <w:pPr>
        <w:pStyle w:val="Podnadpis"/>
        <w:ind w:left="1134" w:hanging="283"/>
        <w:rPr>
          <w:rFonts w:asciiTheme="minorHAnsi" w:hAnsiTheme="minorHAnsi" w:cstheme="minorHAnsi"/>
        </w:rPr>
      </w:pPr>
      <w:r w:rsidRPr="007D0D12">
        <w:rPr>
          <w:rFonts w:asciiTheme="minorHAnsi" w:hAnsiTheme="minorHAnsi" w:cstheme="minorHAnsi"/>
        </w:rPr>
        <w:t>Zemní a bourací práce</w:t>
      </w:r>
    </w:p>
    <w:p w:rsidR="00DD7D43" w:rsidRPr="00DD7D43" w:rsidRDefault="00573E58" w:rsidP="00DD7D43">
      <w:pPr>
        <w:rPr>
          <w:color w:val="FF0000"/>
        </w:rPr>
      </w:pPr>
      <w:r w:rsidRPr="001272DB">
        <w:rPr>
          <w:lang w:eastAsia="en-US"/>
        </w:rPr>
        <w:t xml:space="preserve">Stavba má běžné požadavky na bourací práce (viz. C.4 Situace bouracích prací). </w:t>
      </w:r>
      <w:r w:rsidRPr="001272DB">
        <w:t>Bude proveden pouze výkop zeminy a odkop stávající štěrkové vrstvy.</w:t>
      </w:r>
      <w:r w:rsidRPr="001272DB">
        <w:rPr>
          <w:lang w:eastAsia="en-US"/>
        </w:rPr>
        <w:t xml:space="preserve"> Nedojde k žádnému kácení dřevin. Stavba nevznáší požadavky na asanace. </w:t>
      </w:r>
      <w:r w:rsidRPr="001272DB">
        <w:t xml:space="preserve">V rámci stavby je nutno zachovat a respektovat veškeré dřeviny rostoucí v okolí stavby a nepoškodit zejména kořenový systém, kmeny a koruny. Musí být dodrženy podmínky zákona č.114/1992 Sb. O ochraně přírody a krajiny a ČSN 83 9061 – Ochrana stromů, porostů a ploch pro vegetaci při stavebních pracích a Zásady ochrany stromů na staveništi. V prostoru kořenové zóny dřevin musí být výkop prováděn ručně. Při výkopech se nesmí přetínat kořeny s průměrem nad 2 cm. Kořeny je nutno chránit před poraněním, popřípadě je nutno kořeny ošetřit tzn. hladce seříznout a zamazat prostředky na ošetření ran. Při stavbě je nutné dodržet postupy ochrany podle arboristického standardu SPPK A01 002:2017 Ochrana dřevin při stavební činnosti. Jakákoliv činnost v chráněném kořenovém prostoru včetně ukládání </w:t>
      </w:r>
      <w:r w:rsidRPr="00573E58">
        <w:t>materiálů, umisťování zařízení, průjezdu mechanismů, výkopové činnosti, navážek a podobně je zakázána</w:t>
      </w:r>
      <w:r w:rsidR="00DD7D43" w:rsidRPr="00573E58">
        <w:t>.</w:t>
      </w:r>
    </w:p>
    <w:p w:rsidR="00DD7D43" w:rsidRPr="003C457A" w:rsidRDefault="00DD7D43" w:rsidP="005C00EE">
      <w:pPr>
        <w:widowControl w:val="0"/>
        <w:spacing w:line="240" w:lineRule="auto"/>
        <w:rPr>
          <w:rFonts w:asciiTheme="minorHAnsi" w:hAnsiTheme="minorHAnsi" w:cstheme="minorHAnsi"/>
          <w:kern w:val="0"/>
        </w:rPr>
      </w:pPr>
    </w:p>
    <w:p w:rsidR="00AE1EB4" w:rsidRPr="00AE1EB4" w:rsidRDefault="00AE4F17" w:rsidP="00C5639F">
      <w:pPr>
        <w:pStyle w:val="Podnadpis"/>
        <w:ind w:left="1134" w:hanging="283"/>
        <w:rPr>
          <w:rFonts w:asciiTheme="minorHAnsi" w:hAnsiTheme="minorHAnsi" w:cstheme="minorHAnsi"/>
        </w:rPr>
      </w:pPr>
      <w:r>
        <w:rPr>
          <w:rFonts w:asciiTheme="minorHAnsi" w:hAnsiTheme="minorHAnsi" w:cstheme="minorHAnsi"/>
        </w:rPr>
        <w:t>Návrhové řešení</w:t>
      </w:r>
    </w:p>
    <w:p w:rsidR="00003CC4" w:rsidRPr="00573E58" w:rsidRDefault="00573E58" w:rsidP="00573E58">
      <w:pPr>
        <w:rPr>
          <w:rFonts w:cs="Arial"/>
        </w:rPr>
      </w:pPr>
      <w:r>
        <w:rPr>
          <w:u w:val="single"/>
        </w:rPr>
        <w:t>Příjezdová komunikace</w:t>
      </w:r>
      <w:r w:rsidR="00447AE6">
        <w:t xml:space="preserve"> – </w:t>
      </w:r>
      <w:r w:rsidRPr="00340F02">
        <w:t>Nová komunikace je navržena</w:t>
      </w:r>
      <w:r>
        <w:t xml:space="preserve"> s asfaltovým povrchem o celkové tloušťce konstrukce </w:t>
      </w:r>
      <w:proofErr w:type="gramStart"/>
      <w:r>
        <w:t>400mm</w:t>
      </w:r>
      <w:proofErr w:type="gramEnd"/>
      <w:r>
        <w:t xml:space="preserve">. Šířka komunikace je navržena 3,50m v celkové délce </w:t>
      </w:r>
      <w:proofErr w:type="gramStart"/>
      <w:r>
        <w:t>130m</w:t>
      </w:r>
      <w:proofErr w:type="gramEnd"/>
      <w:r>
        <w:t xml:space="preserve">. Asfaltová komunikace je uzavřena do betonových obrub 15/25 s převýšením nad úrovní asfaltu +0,10m. Příčný sklon komunikace je navržen 2%, podélný sklon pak kopíruje současný stav komunikace s maximální hodnotou 17%. Komunikace je od stávajících budov oddělena štěrkovou krajnicí o celkové tloušťce </w:t>
      </w:r>
      <w:proofErr w:type="gramStart"/>
      <w:r>
        <w:t>300mm</w:t>
      </w:r>
      <w:proofErr w:type="gramEnd"/>
      <w:r>
        <w:t xml:space="preserve">. Štěrková krajnice je navržena v šířce 0,70m-1,10m. Štěrková krajnice bude od stávajících budov oddělena betonovou obrubou 8/25, k této obrubě bude položena hydroizolační fólie. Předmětem projektu je také vybourání stávající opěrné zídky mezi staničením cca 105 a 120. Na místo této zídky je navržena betonová palisáda. Odvodnění komunikace je řešeno umístěním betonových štěrbinových žlabů, ze kterých je voda svedena do nového kanalizačního potrubí, které je vyústěno do stávající vpusti. Voda z této vpusti je dále odvedena do nedalekého stávajícího </w:t>
      </w:r>
      <w:proofErr w:type="spellStart"/>
      <w:r>
        <w:t>vsakoviště</w:t>
      </w:r>
      <w:proofErr w:type="spellEnd"/>
      <w:r>
        <w:t xml:space="preserve">. </w:t>
      </w:r>
      <w:r>
        <w:rPr>
          <w:rFonts w:cs="Arial"/>
        </w:rPr>
        <w:t xml:space="preserve">Veškeré výrobky musejí být osazeny dle </w:t>
      </w:r>
      <w:r w:rsidRPr="00573E58">
        <w:rPr>
          <w:rFonts w:cs="Arial"/>
        </w:rPr>
        <w:t>technologických postupů výrobce a normativních předpisů</w:t>
      </w:r>
      <w:r w:rsidR="000E18D7" w:rsidRPr="00573E58">
        <w:rPr>
          <w:rFonts w:cs="Arial"/>
        </w:rPr>
        <w:t>.</w:t>
      </w:r>
    </w:p>
    <w:p w:rsidR="00371DE8" w:rsidRPr="00573E58" w:rsidRDefault="00371DE8" w:rsidP="00371DE8">
      <w:pPr>
        <w:widowControl w:val="0"/>
        <w:spacing w:line="240" w:lineRule="auto"/>
        <w:ind w:left="1512"/>
        <w:contextualSpacing/>
        <w:rPr>
          <w:kern w:val="0"/>
          <w:lang w:eastAsia="cs-CZ"/>
        </w:rPr>
      </w:pPr>
      <w:bookmarkStart w:id="0" w:name="_Toc97880009"/>
    </w:p>
    <w:p w:rsidR="00371DE8" w:rsidRPr="00573E58" w:rsidRDefault="00371DE8" w:rsidP="00371DE8">
      <w:pPr>
        <w:tabs>
          <w:tab w:val="right" w:pos="7088"/>
        </w:tabs>
        <w:rPr>
          <w:b/>
          <w:sz w:val="22"/>
          <w:szCs w:val="22"/>
          <w:u w:val="single"/>
        </w:rPr>
      </w:pPr>
      <w:bookmarkStart w:id="1" w:name="_Hlk193959805"/>
      <w:r w:rsidRPr="00573E58">
        <w:rPr>
          <w:b/>
          <w:sz w:val="22"/>
          <w:szCs w:val="22"/>
          <w:u w:val="single"/>
        </w:rPr>
        <w:t xml:space="preserve">Konstrukce komunikace ACo 11 tl. </w:t>
      </w:r>
      <w:proofErr w:type="gramStart"/>
      <w:r w:rsidRPr="00573E58">
        <w:rPr>
          <w:b/>
          <w:sz w:val="22"/>
          <w:szCs w:val="22"/>
          <w:u w:val="single"/>
        </w:rPr>
        <w:t>400mm</w:t>
      </w:r>
      <w:proofErr w:type="gramEnd"/>
      <w:r w:rsidRPr="00573E58">
        <w:rPr>
          <w:b/>
          <w:sz w:val="22"/>
          <w:szCs w:val="22"/>
          <w:u w:val="single"/>
        </w:rPr>
        <w:tab/>
        <w:t>D1-A-</w:t>
      </w:r>
      <w:r w:rsidR="005A17A2" w:rsidRPr="00573E58">
        <w:rPr>
          <w:b/>
          <w:sz w:val="22"/>
          <w:szCs w:val="22"/>
          <w:u w:val="single"/>
        </w:rPr>
        <w:t>3</w:t>
      </w:r>
      <w:r w:rsidRPr="00573E58">
        <w:rPr>
          <w:b/>
          <w:sz w:val="22"/>
          <w:szCs w:val="22"/>
          <w:u w:val="single"/>
        </w:rPr>
        <w:t>-VI/PIII</w:t>
      </w:r>
    </w:p>
    <w:p w:rsidR="00BC698F" w:rsidRPr="00573E58" w:rsidRDefault="00BC698F" w:rsidP="00BC698F">
      <w:pPr>
        <w:tabs>
          <w:tab w:val="left" w:pos="3544"/>
          <w:tab w:val="right" w:pos="7088"/>
        </w:tabs>
        <w:rPr>
          <w:sz w:val="22"/>
          <w:szCs w:val="22"/>
        </w:rPr>
      </w:pPr>
      <w:r w:rsidRPr="00573E58">
        <w:rPr>
          <w:sz w:val="22"/>
          <w:szCs w:val="22"/>
        </w:rPr>
        <w:t>Asfaltový beton střednězrnný</w:t>
      </w:r>
      <w:r w:rsidRPr="00573E58">
        <w:rPr>
          <w:sz w:val="22"/>
          <w:szCs w:val="22"/>
        </w:rPr>
        <w:tab/>
        <w:t>ACO 11+ 50/70</w:t>
      </w:r>
      <w:r w:rsidRPr="00573E58">
        <w:rPr>
          <w:sz w:val="22"/>
          <w:szCs w:val="22"/>
        </w:rPr>
        <w:tab/>
        <w:t xml:space="preserve"> </w:t>
      </w:r>
      <w:proofErr w:type="gramStart"/>
      <w:r w:rsidRPr="00573E58">
        <w:rPr>
          <w:sz w:val="22"/>
          <w:szCs w:val="22"/>
        </w:rPr>
        <w:t>40mm</w:t>
      </w:r>
      <w:proofErr w:type="gramEnd"/>
      <w:r w:rsidRPr="00573E58">
        <w:rPr>
          <w:sz w:val="22"/>
          <w:szCs w:val="22"/>
        </w:rPr>
        <w:tab/>
      </w:r>
      <w:r w:rsidRPr="00573E58">
        <w:rPr>
          <w:sz w:val="22"/>
          <w:szCs w:val="22"/>
        </w:rPr>
        <w:tab/>
        <w:t>(ČSN EN 13108-1)</w:t>
      </w:r>
    </w:p>
    <w:p w:rsidR="00BC698F" w:rsidRPr="00573E58" w:rsidRDefault="00BC698F" w:rsidP="00BC698F">
      <w:pPr>
        <w:tabs>
          <w:tab w:val="left" w:pos="3544"/>
          <w:tab w:val="right" w:pos="7088"/>
        </w:tabs>
        <w:rPr>
          <w:sz w:val="22"/>
          <w:szCs w:val="22"/>
        </w:rPr>
      </w:pPr>
      <w:r w:rsidRPr="00573E58">
        <w:rPr>
          <w:sz w:val="22"/>
          <w:szCs w:val="22"/>
        </w:rPr>
        <w:t>Spojovací postřik</w:t>
      </w:r>
      <w:r w:rsidRPr="00573E58">
        <w:rPr>
          <w:sz w:val="22"/>
          <w:szCs w:val="22"/>
        </w:rPr>
        <w:tab/>
        <w:t>PS 0,4kg/m</w:t>
      </w:r>
      <w:r w:rsidRPr="00573E58">
        <w:rPr>
          <w:sz w:val="22"/>
          <w:szCs w:val="22"/>
          <w:vertAlign w:val="superscript"/>
        </w:rPr>
        <w:t>2</w:t>
      </w:r>
      <w:r w:rsidRPr="00573E58">
        <w:rPr>
          <w:sz w:val="22"/>
          <w:szCs w:val="22"/>
          <w:vertAlign w:val="superscript"/>
        </w:rPr>
        <w:tab/>
      </w:r>
      <w:r w:rsidRPr="00573E58">
        <w:rPr>
          <w:sz w:val="22"/>
          <w:szCs w:val="22"/>
        </w:rPr>
        <w:tab/>
      </w:r>
      <w:r w:rsidRPr="00573E58">
        <w:rPr>
          <w:sz w:val="22"/>
          <w:szCs w:val="22"/>
        </w:rPr>
        <w:tab/>
        <w:t>(ČSN 73 6129)</w:t>
      </w:r>
    </w:p>
    <w:p w:rsidR="00BC698F" w:rsidRPr="00573E58" w:rsidRDefault="00BC698F" w:rsidP="00BC698F">
      <w:pPr>
        <w:tabs>
          <w:tab w:val="left" w:pos="3544"/>
          <w:tab w:val="right" w:pos="7088"/>
        </w:tabs>
        <w:rPr>
          <w:sz w:val="22"/>
          <w:szCs w:val="22"/>
        </w:rPr>
      </w:pPr>
      <w:r w:rsidRPr="00573E58">
        <w:rPr>
          <w:sz w:val="22"/>
          <w:szCs w:val="22"/>
        </w:rPr>
        <w:t>Obalované kamenivo</w:t>
      </w:r>
      <w:r w:rsidRPr="00573E58">
        <w:rPr>
          <w:sz w:val="22"/>
          <w:szCs w:val="22"/>
        </w:rPr>
        <w:tab/>
        <w:t>ACP 22+ 40/60</w:t>
      </w:r>
      <w:r w:rsidRPr="00573E58">
        <w:rPr>
          <w:sz w:val="22"/>
          <w:szCs w:val="22"/>
        </w:rPr>
        <w:tab/>
        <w:t xml:space="preserve"> </w:t>
      </w:r>
      <w:proofErr w:type="gramStart"/>
      <w:r w:rsidRPr="00573E58">
        <w:rPr>
          <w:sz w:val="22"/>
          <w:szCs w:val="22"/>
        </w:rPr>
        <w:t>60mm</w:t>
      </w:r>
      <w:proofErr w:type="gramEnd"/>
      <w:r w:rsidRPr="00573E58">
        <w:rPr>
          <w:sz w:val="22"/>
          <w:szCs w:val="22"/>
        </w:rPr>
        <w:tab/>
      </w:r>
      <w:r w:rsidRPr="00573E58">
        <w:rPr>
          <w:sz w:val="22"/>
          <w:szCs w:val="22"/>
        </w:rPr>
        <w:tab/>
        <w:t>(ČSN EN 13108-1)</w:t>
      </w:r>
    </w:p>
    <w:p w:rsidR="00BC698F" w:rsidRPr="00573E58" w:rsidRDefault="00BC698F" w:rsidP="00BC698F">
      <w:pPr>
        <w:tabs>
          <w:tab w:val="left" w:pos="3544"/>
          <w:tab w:val="right" w:pos="7088"/>
        </w:tabs>
        <w:rPr>
          <w:sz w:val="22"/>
          <w:szCs w:val="22"/>
        </w:rPr>
      </w:pPr>
      <w:r w:rsidRPr="00573E58">
        <w:rPr>
          <w:sz w:val="22"/>
          <w:szCs w:val="22"/>
        </w:rPr>
        <w:t>Infiltrační postřik</w:t>
      </w:r>
      <w:r w:rsidRPr="00573E58">
        <w:rPr>
          <w:sz w:val="22"/>
          <w:szCs w:val="22"/>
        </w:rPr>
        <w:tab/>
        <w:t xml:space="preserve">PI </w:t>
      </w:r>
      <w:proofErr w:type="gramStart"/>
      <w:r w:rsidRPr="00573E58">
        <w:rPr>
          <w:sz w:val="22"/>
          <w:szCs w:val="22"/>
        </w:rPr>
        <w:t>1kg</w:t>
      </w:r>
      <w:proofErr w:type="gramEnd"/>
      <w:r w:rsidRPr="00573E58">
        <w:rPr>
          <w:sz w:val="22"/>
          <w:szCs w:val="22"/>
        </w:rPr>
        <w:t>/m</w:t>
      </w:r>
      <w:r w:rsidRPr="00573E58">
        <w:rPr>
          <w:sz w:val="22"/>
          <w:szCs w:val="22"/>
          <w:vertAlign w:val="superscript"/>
        </w:rPr>
        <w:t>2</w:t>
      </w:r>
      <w:r w:rsidRPr="00573E58">
        <w:rPr>
          <w:sz w:val="22"/>
          <w:szCs w:val="22"/>
        </w:rPr>
        <w:tab/>
      </w:r>
      <w:r w:rsidRPr="00573E58">
        <w:rPr>
          <w:sz w:val="22"/>
          <w:szCs w:val="22"/>
        </w:rPr>
        <w:tab/>
      </w:r>
      <w:r w:rsidRPr="00573E58">
        <w:rPr>
          <w:sz w:val="22"/>
          <w:szCs w:val="22"/>
        </w:rPr>
        <w:tab/>
        <w:t>(ČSN 73 6129)</w:t>
      </w:r>
    </w:p>
    <w:p w:rsidR="00BC698F" w:rsidRPr="00573E58" w:rsidRDefault="00BC698F" w:rsidP="00BC698F">
      <w:pPr>
        <w:tabs>
          <w:tab w:val="left" w:pos="3544"/>
          <w:tab w:val="right" w:pos="7088"/>
        </w:tabs>
        <w:rPr>
          <w:sz w:val="22"/>
          <w:szCs w:val="22"/>
        </w:rPr>
      </w:pPr>
      <w:r w:rsidRPr="00573E58">
        <w:rPr>
          <w:sz w:val="22"/>
          <w:szCs w:val="22"/>
        </w:rPr>
        <w:t>Štěrkodrť</w:t>
      </w:r>
      <w:r w:rsidRPr="00573E58">
        <w:rPr>
          <w:sz w:val="22"/>
          <w:szCs w:val="22"/>
        </w:rPr>
        <w:tab/>
        <w:t>ŠD</w:t>
      </w:r>
      <w:r w:rsidRPr="00573E58">
        <w:rPr>
          <w:sz w:val="22"/>
          <w:szCs w:val="22"/>
          <w:vertAlign w:val="subscript"/>
        </w:rPr>
        <w:t>A</w:t>
      </w:r>
      <w:r w:rsidRPr="00573E58">
        <w:rPr>
          <w:sz w:val="22"/>
          <w:szCs w:val="22"/>
        </w:rPr>
        <w:t xml:space="preserve"> 0/32          </w:t>
      </w:r>
      <w:r w:rsidRPr="00573E58">
        <w:rPr>
          <w:sz w:val="22"/>
          <w:szCs w:val="22"/>
        </w:rPr>
        <w:tab/>
        <w:t xml:space="preserve">           </w:t>
      </w:r>
      <w:proofErr w:type="gramStart"/>
      <w:r w:rsidRPr="00573E58">
        <w:rPr>
          <w:sz w:val="22"/>
          <w:szCs w:val="22"/>
        </w:rPr>
        <w:t>150mm</w:t>
      </w:r>
      <w:proofErr w:type="gramEnd"/>
      <w:r w:rsidRPr="00573E58">
        <w:rPr>
          <w:sz w:val="22"/>
          <w:szCs w:val="22"/>
        </w:rPr>
        <w:tab/>
      </w:r>
      <w:r w:rsidRPr="00573E58">
        <w:rPr>
          <w:sz w:val="22"/>
          <w:szCs w:val="22"/>
        </w:rPr>
        <w:tab/>
        <w:t>(ČSN 73 6126-1)</w:t>
      </w:r>
    </w:p>
    <w:p w:rsidR="00BC698F" w:rsidRPr="00573E58" w:rsidRDefault="00BC698F" w:rsidP="00BC698F">
      <w:pPr>
        <w:tabs>
          <w:tab w:val="left" w:pos="3544"/>
          <w:tab w:val="right" w:pos="7088"/>
        </w:tabs>
        <w:rPr>
          <w:sz w:val="22"/>
          <w:szCs w:val="22"/>
        </w:rPr>
      </w:pPr>
      <w:r w:rsidRPr="00573E58">
        <w:rPr>
          <w:sz w:val="22"/>
          <w:szCs w:val="22"/>
          <w:u w:val="single"/>
        </w:rPr>
        <w:t>Štěrkodrť</w:t>
      </w:r>
      <w:r w:rsidRPr="00573E58">
        <w:rPr>
          <w:sz w:val="22"/>
          <w:szCs w:val="22"/>
          <w:u w:val="single"/>
        </w:rPr>
        <w:tab/>
        <w:t>ŠD</w:t>
      </w:r>
      <w:r w:rsidRPr="00573E58">
        <w:rPr>
          <w:sz w:val="22"/>
          <w:szCs w:val="22"/>
          <w:u w:val="single"/>
          <w:vertAlign w:val="subscript"/>
        </w:rPr>
        <w:t>B</w:t>
      </w:r>
      <w:r w:rsidRPr="00573E58">
        <w:rPr>
          <w:sz w:val="22"/>
          <w:szCs w:val="22"/>
          <w:u w:val="single"/>
        </w:rPr>
        <w:t xml:space="preserve"> 0/63          </w:t>
      </w:r>
      <w:r w:rsidRPr="00573E58">
        <w:rPr>
          <w:sz w:val="22"/>
          <w:szCs w:val="22"/>
          <w:u w:val="single"/>
        </w:rPr>
        <w:tab/>
        <w:t xml:space="preserve">           </w:t>
      </w:r>
      <w:proofErr w:type="gramStart"/>
      <w:r w:rsidRPr="00573E58">
        <w:rPr>
          <w:sz w:val="22"/>
          <w:szCs w:val="22"/>
          <w:u w:val="single"/>
        </w:rPr>
        <w:t>150mm</w:t>
      </w:r>
      <w:proofErr w:type="gramEnd"/>
      <w:r w:rsidRPr="00573E58">
        <w:rPr>
          <w:sz w:val="22"/>
          <w:szCs w:val="22"/>
          <w:u w:val="single"/>
        </w:rPr>
        <w:tab/>
      </w:r>
      <w:r w:rsidRPr="00573E58">
        <w:rPr>
          <w:sz w:val="22"/>
          <w:szCs w:val="22"/>
        </w:rPr>
        <w:tab/>
        <w:t>(ČSN 73 6126-1)</w:t>
      </w:r>
    </w:p>
    <w:p w:rsidR="00BC698F" w:rsidRPr="00573E58" w:rsidRDefault="00BC698F" w:rsidP="00BC698F">
      <w:pPr>
        <w:tabs>
          <w:tab w:val="left" w:pos="3544"/>
          <w:tab w:val="right" w:pos="7088"/>
        </w:tabs>
        <w:rPr>
          <w:sz w:val="22"/>
          <w:szCs w:val="22"/>
        </w:rPr>
      </w:pPr>
      <w:r w:rsidRPr="00573E58">
        <w:rPr>
          <w:sz w:val="22"/>
          <w:szCs w:val="22"/>
        </w:rPr>
        <w:t>Celkem</w:t>
      </w:r>
      <w:r w:rsidRPr="00573E58">
        <w:rPr>
          <w:sz w:val="22"/>
          <w:szCs w:val="22"/>
        </w:rPr>
        <w:tab/>
      </w:r>
      <w:r w:rsidRPr="00573E58">
        <w:rPr>
          <w:sz w:val="22"/>
          <w:szCs w:val="22"/>
        </w:rPr>
        <w:tab/>
      </w:r>
      <w:proofErr w:type="gramStart"/>
      <w:r w:rsidRPr="00573E58">
        <w:rPr>
          <w:sz w:val="22"/>
          <w:szCs w:val="22"/>
        </w:rPr>
        <w:t>400mm</w:t>
      </w:r>
      <w:bookmarkEnd w:id="1"/>
      <w:proofErr w:type="gramEnd"/>
    </w:p>
    <w:p w:rsidR="00793F52" w:rsidRPr="00573E58" w:rsidRDefault="00793F52" w:rsidP="00793F52">
      <w:pPr>
        <w:spacing w:before="240"/>
        <w:rPr>
          <w:rFonts w:cs="Arial"/>
        </w:rPr>
      </w:pPr>
      <w:r w:rsidRPr="00573E58">
        <w:rPr>
          <w:rFonts w:asciiTheme="minorHAnsi" w:hAnsiTheme="minorHAnsi" w:cstheme="minorHAnsi"/>
        </w:rPr>
        <w:t>Návrh konstrukce komunikací se provádí dle TP 170</w:t>
      </w:r>
      <w:r w:rsidRPr="00573E58">
        <w:rPr>
          <w:rFonts w:cs="Arial"/>
        </w:rPr>
        <w:t>.</w:t>
      </w:r>
    </w:p>
    <w:bookmarkEnd w:id="0"/>
    <w:p w:rsidR="00C46220" w:rsidRPr="00447AE6" w:rsidRDefault="00191A13"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lastRenderedPageBreak/>
        <w:t>Režim povrchových a podzemních vod, zásady odvodnění</w:t>
      </w:r>
      <w:r w:rsidR="003E5C13">
        <w:rPr>
          <w:rFonts w:asciiTheme="minorHAnsi" w:hAnsiTheme="minorHAnsi" w:cstheme="minorHAnsi"/>
          <w:b/>
          <w:i w:val="0"/>
        </w:rPr>
        <w:t>, ochrana pozemní komunikace</w:t>
      </w:r>
    </w:p>
    <w:p w:rsidR="00823193" w:rsidRDefault="00573E58" w:rsidP="00A37826">
      <w:pPr>
        <w:rPr>
          <w:rFonts w:asciiTheme="minorHAnsi" w:hAnsiTheme="minorHAnsi" w:cstheme="minorHAnsi"/>
          <w:color w:val="FF0000"/>
        </w:rPr>
      </w:pPr>
      <w:r>
        <w:t xml:space="preserve">Odvodnění komunikace je řešeno umístěním betonových štěrbinových žlabů, ze kterých je voda svedena do nového kanalizačního potrubí, které je </w:t>
      </w:r>
      <w:r w:rsidRPr="00573E58">
        <w:t xml:space="preserve">vyústěno do stávající vpusti. Voda z této vpusti je dále odvedena do nedalekého stávajícího </w:t>
      </w:r>
      <w:proofErr w:type="spellStart"/>
      <w:r w:rsidRPr="00573E58">
        <w:t>vsakoviště</w:t>
      </w:r>
      <w:proofErr w:type="spellEnd"/>
      <w:r w:rsidR="00DB4052" w:rsidRPr="00573E58">
        <w:t>.</w:t>
      </w:r>
      <w:r w:rsidR="00E604B0" w:rsidRPr="00003CC4">
        <w:rPr>
          <w:rFonts w:asciiTheme="minorHAnsi" w:hAnsiTheme="minorHAnsi" w:cstheme="minorHAnsi"/>
          <w:color w:val="FF0000"/>
        </w:rPr>
        <w:t xml:space="preserve"> </w:t>
      </w:r>
    </w:p>
    <w:p w:rsidR="00457283" w:rsidRDefault="00457283" w:rsidP="00A37826">
      <w:pPr>
        <w:rPr>
          <w:rFonts w:asciiTheme="minorHAnsi" w:hAnsiTheme="minorHAnsi" w:cstheme="minorHAnsi"/>
          <w:color w:val="FF0000"/>
        </w:rPr>
      </w:pPr>
    </w:p>
    <w:p w:rsidR="009C3802" w:rsidRPr="00254A64" w:rsidRDefault="009C3802" w:rsidP="009C3802">
      <w:pPr>
        <w:spacing w:line="240" w:lineRule="auto"/>
      </w:pPr>
      <w:r w:rsidRPr="00D23A44">
        <w:t>Stávající poklopy šoupat, hydrantů a ventilové poklopy hlavních uzávěrů vody na řadech je nutno respektovat, případně bude provedena jejich výšková úprava dle nivelety komunikace.</w:t>
      </w:r>
    </w:p>
    <w:p w:rsidR="009C3802" w:rsidRPr="00003CC4" w:rsidRDefault="009C3802" w:rsidP="00A37826">
      <w:pPr>
        <w:rPr>
          <w:rFonts w:asciiTheme="minorHAnsi" w:hAnsiTheme="minorHAnsi" w:cstheme="minorHAnsi"/>
          <w:color w:val="FF0000"/>
        </w:rPr>
      </w:pPr>
    </w:p>
    <w:p w:rsidR="00191A13" w:rsidRPr="00447AE6" w:rsidRDefault="00191A13"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t>Návrh dopravních značek, dopravních zařízení, světelných signálů, zařízení pro provozní informace a dopravní telematiku</w:t>
      </w:r>
    </w:p>
    <w:p w:rsidR="004421F3" w:rsidRDefault="00573E58" w:rsidP="004421F3">
      <w:pPr>
        <w:pStyle w:val="Odstavecseseznamem"/>
        <w:ind w:left="0"/>
      </w:pPr>
      <w:r>
        <w:t>Žádné dopravní značení se nenavrhuje.</w:t>
      </w:r>
    </w:p>
    <w:p w:rsidR="008C4886" w:rsidRPr="00542616" w:rsidRDefault="008C4886" w:rsidP="004421F3">
      <w:pPr>
        <w:pStyle w:val="Odstavecseseznamem"/>
        <w:ind w:left="0"/>
      </w:pPr>
    </w:p>
    <w:p w:rsidR="00F27154" w:rsidRPr="00573E58" w:rsidRDefault="00F27154" w:rsidP="00447AE6">
      <w:pPr>
        <w:pStyle w:val="Nadpis2"/>
        <w:numPr>
          <w:ilvl w:val="0"/>
          <w:numId w:val="14"/>
        </w:numPr>
        <w:rPr>
          <w:rFonts w:asciiTheme="minorHAnsi" w:hAnsiTheme="minorHAnsi" w:cstheme="minorHAnsi"/>
          <w:b/>
          <w:i w:val="0"/>
        </w:rPr>
      </w:pPr>
      <w:r w:rsidRPr="00447AE6">
        <w:rPr>
          <w:rFonts w:asciiTheme="minorHAnsi" w:hAnsiTheme="minorHAnsi" w:cstheme="minorHAnsi"/>
          <w:b/>
          <w:i w:val="0"/>
        </w:rPr>
        <w:t xml:space="preserve">Řešení přístupu a užívání veřejně přístupných </w:t>
      </w:r>
      <w:r w:rsidRPr="00573E58">
        <w:rPr>
          <w:rFonts w:asciiTheme="minorHAnsi" w:hAnsiTheme="minorHAnsi" w:cstheme="minorHAnsi"/>
          <w:b/>
          <w:i w:val="0"/>
        </w:rPr>
        <w:t xml:space="preserve">komunikací </w:t>
      </w:r>
      <w:r w:rsidR="003E5C13" w:rsidRPr="00573E58">
        <w:rPr>
          <w:rFonts w:asciiTheme="minorHAnsi" w:hAnsiTheme="minorHAnsi" w:cstheme="minorHAnsi"/>
          <w:b/>
          <w:i w:val="0"/>
        </w:rPr>
        <w:t>a ploch souvisejících se staveništěm</w:t>
      </w:r>
      <w:r w:rsidRPr="00573E58">
        <w:rPr>
          <w:rFonts w:asciiTheme="minorHAnsi" w:hAnsiTheme="minorHAnsi" w:cstheme="minorHAnsi"/>
          <w:b/>
          <w:i w:val="0"/>
        </w:rPr>
        <w:t xml:space="preserve"> osobami </w:t>
      </w:r>
      <w:r w:rsidR="003E5C13" w:rsidRPr="00573E58">
        <w:rPr>
          <w:rFonts w:asciiTheme="minorHAnsi" w:hAnsiTheme="minorHAnsi" w:cstheme="minorHAnsi"/>
          <w:b/>
          <w:i w:val="0"/>
        </w:rPr>
        <w:t>s omezenou schopností pohybu a orientace</w:t>
      </w:r>
    </w:p>
    <w:p w:rsidR="00FF0036" w:rsidRPr="00573E58" w:rsidRDefault="00573E58" w:rsidP="00FF0036">
      <w:pPr>
        <w:rPr>
          <w:rFonts w:cs="Arial"/>
        </w:rPr>
      </w:pPr>
      <w:r w:rsidRPr="00573E58">
        <w:rPr>
          <w:rFonts w:cs="Arial"/>
        </w:rPr>
        <w:t>Charakter stavby nevznáší požadavky na bezbariérové užívání.</w:t>
      </w:r>
    </w:p>
    <w:p w:rsidR="00FF0036" w:rsidRDefault="00FF0036" w:rsidP="00FF0036">
      <w:pPr>
        <w:rPr>
          <w:rFonts w:cs="Arial"/>
        </w:rPr>
      </w:pPr>
    </w:p>
    <w:p w:rsidR="00003CC4" w:rsidRDefault="00003CC4" w:rsidP="00A7696D">
      <w:pPr>
        <w:rPr>
          <w:rFonts w:cs="Arial"/>
        </w:rPr>
      </w:pPr>
    </w:p>
    <w:p w:rsidR="00003CC4" w:rsidRPr="007D0D12" w:rsidRDefault="00003CC4" w:rsidP="00A7696D">
      <w:pPr>
        <w:rPr>
          <w:rFonts w:asciiTheme="minorHAnsi" w:hAnsiTheme="minorHAnsi" w:cstheme="minorHAnsi"/>
        </w:rPr>
      </w:pPr>
    </w:p>
    <w:sectPr w:rsidR="00003CC4" w:rsidRPr="007D0D12" w:rsidSect="006031BB">
      <w:headerReference w:type="default" r:id="rId7"/>
      <w:footerReference w:type="default" r:id="rId8"/>
      <w:headerReference w:type="first" r:id="rId9"/>
      <w:footerReference w:type="first" r:id="rId10"/>
      <w:pgSz w:w="11906" w:h="16838"/>
      <w:pgMar w:top="1418" w:right="851" w:bottom="397" w:left="851" w:header="709" w:footer="709" w:gutter="0"/>
      <w:cols w:space="708"/>
      <w:titlePg/>
      <w:docGrid w:linePitch="326"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75E53" w:rsidRDefault="00B75E53">
      <w:pPr>
        <w:spacing w:line="240" w:lineRule="auto"/>
      </w:pPr>
      <w:r>
        <w:separator/>
      </w:r>
    </w:p>
  </w:endnote>
  <w:endnote w:type="continuationSeparator" w:id="0">
    <w:p w:rsidR="00B75E53" w:rsidRDefault="00B75E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16803147"/>
      <w:docPartObj>
        <w:docPartGallery w:val="Page Numbers (Bottom of Page)"/>
        <w:docPartUnique/>
      </w:docPartObj>
    </w:sdtPr>
    <w:sdtContent>
      <w:sdt>
        <w:sdtPr>
          <w:rPr>
            <w:color w:val="808080" w:themeColor="background1" w:themeShade="80"/>
          </w:rPr>
          <w:id w:val="37899341"/>
          <w:docPartObj>
            <w:docPartGallery w:val="Page Numbers (Top of Page)"/>
            <w:docPartUnique/>
          </w:docPartObj>
        </w:sdtPr>
        <w:sdtContent>
          <w:p w:rsidR="00A37826" w:rsidRPr="0048635A" w:rsidRDefault="00A37826">
            <w:pPr>
              <w:pStyle w:val="Zpat"/>
              <w:jc w:val="right"/>
              <w:rPr>
                <w:color w:val="808080" w:themeColor="background1" w:themeShade="80"/>
              </w:rPr>
            </w:pPr>
            <w:r w:rsidRPr="0048635A">
              <w:rPr>
                <w:color w:val="808080" w:themeColor="background1" w:themeShade="80"/>
              </w:rPr>
              <w:t xml:space="preserve">Stránka </w:t>
            </w:r>
            <w:r w:rsidR="0018742C" w:rsidRPr="0048635A">
              <w:rPr>
                <w:color w:val="808080" w:themeColor="background1" w:themeShade="80"/>
              </w:rPr>
              <w:fldChar w:fldCharType="begin"/>
            </w:r>
            <w:r w:rsidR="005763DF" w:rsidRPr="0048635A">
              <w:rPr>
                <w:color w:val="808080" w:themeColor="background1" w:themeShade="80"/>
              </w:rPr>
              <w:instrText>PAGE</w:instrText>
            </w:r>
            <w:r w:rsidR="0018742C" w:rsidRPr="0048635A">
              <w:rPr>
                <w:color w:val="808080" w:themeColor="background1" w:themeShade="80"/>
              </w:rPr>
              <w:fldChar w:fldCharType="separate"/>
            </w:r>
            <w:r w:rsidR="00083D17">
              <w:rPr>
                <w:noProof/>
                <w:color w:val="808080" w:themeColor="background1" w:themeShade="80"/>
              </w:rPr>
              <w:t>9</w:t>
            </w:r>
            <w:r w:rsidR="0018742C" w:rsidRPr="0048635A">
              <w:rPr>
                <w:color w:val="808080" w:themeColor="background1" w:themeShade="80"/>
              </w:rPr>
              <w:fldChar w:fldCharType="end"/>
            </w:r>
            <w:r w:rsidRPr="0048635A">
              <w:rPr>
                <w:color w:val="808080" w:themeColor="background1" w:themeShade="80"/>
              </w:rPr>
              <w:t xml:space="preserve"> / </w:t>
            </w:r>
            <w:r w:rsidR="0018742C" w:rsidRPr="0048635A">
              <w:rPr>
                <w:color w:val="808080" w:themeColor="background1" w:themeShade="80"/>
              </w:rPr>
              <w:fldChar w:fldCharType="begin"/>
            </w:r>
            <w:r w:rsidR="005763DF" w:rsidRPr="0048635A">
              <w:rPr>
                <w:color w:val="808080" w:themeColor="background1" w:themeShade="80"/>
              </w:rPr>
              <w:instrText>NUMPAGES</w:instrText>
            </w:r>
            <w:r w:rsidR="0018742C" w:rsidRPr="0048635A">
              <w:rPr>
                <w:color w:val="808080" w:themeColor="background1" w:themeShade="80"/>
              </w:rPr>
              <w:fldChar w:fldCharType="separate"/>
            </w:r>
            <w:r w:rsidR="00083D17">
              <w:rPr>
                <w:noProof/>
                <w:color w:val="808080" w:themeColor="background1" w:themeShade="80"/>
              </w:rPr>
              <w:t>9</w:t>
            </w:r>
            <w:r w:rsidR="0018742C" w:rsidRPr="0048635A">
              <w:rPr>
                <w:color w:val="808080" w:themeColor="background1" w:themeShade="80"/>
              </w:rPr>
              <w:fldChar w:fldCharType="end"/>
            </w:r>
          </w:p>
        </w:sdtContent>
      </w:sdt>
    </w:sdtContent>
  </w:sdt>
  <w:p w:rsidR="00A37826" w:rsidRDefault="00A37826">
    <w:pPr>
      <w:pStyle w:val="Zpat"/>
      <w:jc w:val="right"/>
      <w:rPr>
        <w:rFonts w:ascii="Tahoma" w:hAnsi="Tahoma" w:cs="Tahoma"/>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1324805188"/>
      <w:docPartObj>
        <w:docPartGallery w:val="Page Numbers (Top of Page)"/>
        <w:docPartUnique/>
      </w:docPartObj>
    </w:sdtPr>
    <w:sdtContent>
      <w:p w:rsidR="007944DB" w:rsidRDefault="007944DB" w:rsidP="007944DB">
        <w:pPr>
          <w:pStyle w:val="Zpat"/>
          <w:jc w:val="right"/>
          <w:rPr>
            <w:color w:val="808080" w:themeColor="background1" w:themeShade="80"/>
          </w:rPr>
        </w:pPr>
        <w:r w:rsidRPr="0048635A">
          <w:rPr>
            <w:color w:val="808080" w:themeColor="background1" w:themeShade="80"/>
          </w:rPr>
          <w:t xml:space="preserve">Stránka </w:t>
        </w:r>
        <w:r w:rsidR="0018742C" w:rsidRPr="0048635A">
          <w:rPr>
            <w:color w:val="808080" w:themeColor="background1" w:themeShade="80"/>
          </w:rPr>
          <w:fldChar w:fldCharType="begin"/>
        </w:r>
        <w:r w:rsidRPr="0048635A">
          <w:rPr>
            <w:color w:val="808080" w:themeColor="background1" w:themeShade="80"/>
          </w:rPr>
          <w:instrText>PAGE</w:instrText>
        </w:r>
        <w:r w:rsidR="0018742C" w:rsidRPr="0048635A">
          <w:rPr>
            <w:color w:val="808080" w:themeColor="background1" w:themeShade="80"/>
          </w:rPr>
          <w:fldChar w:fldCharType="separate"/>
        </w:r>
        <w:r w:rsidR="00083D17">
          <w:rPr>
            <w:noProof/>
            <w:color w:val="808080" w:themeColor="background1" w:themeShade="80"/>
          </w:rPr>
          <w:t>1</w:t>
        </w:r>
        <w:r w:rsidR="0018742C" w:rsidRPr="0048635A">
          <w:rPr>
            <w:color w:val="808080" w:themeColor="background1" w:themeShade="80"/>
          </w:rPr>
          <w:fldChar w:fldCharType="end"/>
        </w:r>
        <w:r w:rsidRPr="0048635A">
          <w:rPr>
            <w:color w:val="808080" w:themeColor="background1" w:themeShade="80"/>
          </w:rPr>
          <w:t xml:space="preserve"> / </w:t>
        </w:r>
        <w:r w:rsidR="0018742C" w:rsidRPr="0048635A">
          <w:rPr>
            <w:color w:val="808080" w:themeColor="background1" w:themeShade="80"/>
          </w:rPr>
          <w:fldChar w:fldCharType="begin"/>
        </w:r>
        <w:r w:rsidRPr="0048635A">
          <w:rPr>
            <w:color w:val="808080" w:themeColor="background1" w:themeShade="80"/>
          </w:rPr>
          <w:instrText>NUMPAGES</w:instrText>
        </w:r>
        <w:r w:rsidR="0018742C" w:rsidRPr="0048635A">
          <w:rPr>
            <w:color w:val="808080" w:themeColor="background1" w:themeShade="80"/>
          </w:rPr>
          <w:fldChar w:fldCharType="separate"/>
        </w:r>
        <w:r w:rsidR="00083D17">
          <w:rPr>
            <w:noProof/>
            <w:color w:val="808080" w:themeColor="background1" w:themeShade="80"/>
          </w:rPr>
          <w:t>9</w:t>
        </w:r>
        <w:r w:rsidR="0018742C" w:rsidRPr="0048635A">
          <w:rPr>
            <w:color w:val="808080" w:themeColor="background1" w:themeShade="80"/>
          </w:rPr>
          <w:fldChar w:fldCharType="end"/>
        </w:r>
      </w:p>
    </w:sdtContent>
  </w:sdt>
  <w:p w:rsidR="007944DB" w:rsidRDefault="007944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75E53" w:rsidRDefault="00B75E53">
      <w:pPr>
        <w:spacing w:line="240" w:lineRule="auto"/>
      </w:pPr>
      <w:r>
        <w:separator/>
      </w:r>
    </w:p>
  </w:footnote>
  <w:footnote w:type="continuationSeparator" w:id="0">
    <w:p w:rsidR="00B75E53" w:rsidRDefault="00B75E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7826" w:rsidRPr="00CB283E" w:rsidRDefault="00573E58" w:rsidP="00447AE6">
    <w:pPr>
      <w:pStyle w:val="Zhlav"/>
      <w:jc w:val="center"/>
      <w:rPr>
        <w:rFonts w:ascii="Arial" w:eastAsia="Times New Roman" w:hAnsi="Arial"/>
        <w:color w:val="FF0000"/>
        <w:sz w:val="18"/>
        <w:szCs w:val="18"/>
      </w:rPr>
    </w:pPr>
    <w:r w:rsidRPr="00856342">
      <w:rPr>
        <w:rFonts w:ascii="Arial" w:eastAsia="Times New Roman" w:hAnsi="Arial"/>
        <w:sz w:val="18"/>
        <w:szCs w:val="18"/>
      </w:rPr>
      <w:t xml:space="preserve">Rekonstrukce příjezdové komunikace na pozemku 3065/1 v </w:t>
    </w:r>
    <w:proofErr w:type="spellStart"/>
    <w:r w:rsidRPr="00856342">
      <w:rPr>
        <w:rFonts w:ascii="Arial" w:eastAsia="Times New Roman" w:hAnsi="Arial"/>
        <w:sz w:val="18"/>
        <w:szCs w:val="18"/>
      </w:rPr>
      <w:t>k.ú</w:t>
    </w:r>
    <w:proofErr w:type="spellEnd"/>
    <w:r w:rsidRPr="00856342">
      <w:rPr>
        <w:rFonts w:ascii="Arial" w:eastAsia="Times New Roman" w:hAnsi="Arial"/>
        <w:sz w:val="18"/>
        <w:szCs w:val="18"/>
      </w:rPr>
      <w:t xml:space="preserve">. </w:t>
    </w:r>
    <w:proofErr w:type="spellStart"/>
    <w:r w:rsidRPr="00856342">
      <w:rPr>
        <w:rFonts w:ascii="Arial" w:eastAsia="Times New Roman" w:hAnsi="Arial"/>
        <w:sz w:val="18"/>
        <w:szCs w:val="18"/>
      </w:rPr>
      <w:t>Encovany</w:t>
    </w:r>
    <w:proofErr w:type="spellEnd"/>
  </w:p>
  <w:p w:rsidR="00A37826" w:rsidRPr="00CB283E" w:rsidRDefault="00A37826" w:rsidP="00CB283E">
    <w:pPr>
      <w:pStyle w:val="Zhlav"/>
      <w:pBdr>
        <w:bottom w:val="double" w:sz="4" w:space="1" w:color="auto"/>
      </w:pBdr>
      <w:rPr>
        <w:color w:val="FF0000"/>
      </w:rPr>
    </w:pPr>
  </w:p>
  <w:p w:rsidR="00A37826" w:rsidRPr="00CB283E" w:rsidRDefault="00A37826" w:rsidP="007E3679">
    <w:pPr>
      <w:pStyle w:val="Zhlav"/>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944DB" w:rsidRDefault="007944DB">
    <w:pPr>
      <w:pStyle w:val="Zhlav"/>
    </w:pPr>
    <w:r>
      <w:rPr>
        <w:noProof/>
        <w:lang w:eastAsia="cs-CZ"/>
      </w:rPr>
      <w:drawing>
        <wp:anchor distT="0" distB="0" distL="114300" distR="114300" simplePos="0" relativeHeight="251663360" behindDoc="0" locked="0" layoutInCell="1" allowOverlap="1">
          <wp:simplePos x="0" y="0"/>
          <wp:positionH relativeFrom="column">
            <wp:posOffset>-193040</wp:posOffset>
          </wp:positionH>
          <wp:positionV relativeFrom="paragraph">
            <wp:posOffset>-161925</wp:posOffset>
          </wp:positionV>
          <wp:extent cx="2743200" cy="609600"/>
          <wp:effectExtent l="0" t="0" r="0" b="0"/>
          <wp:wrapNone/>
          <wp:docPr id="1" name="Obrázek 1" descr="\\Ne2d-apple-caps\data\SERVER\07_NE2D PROJEKT\N designe\NE2D_logo_final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Ne2d-apple-caps\data\SERVER\07_NE2D PROJEKT\N designe\NE2D_logo_final_02.png"/>
                  <pic:cNvPicPr>
                    <a:picLocks noChangeAspect="1" noChangeArrowheads="1"/>
                  </pic:cNvPicPr>
                </pic:nvPicPr>
                <pic:blipFill>
                  <a:blip r:embed="rId1">
                    <a:extLst>
                      <a:ext uri="{28A0092B-C50C-407E-A947-70E740481C1C}">
                        <a14:useLocalDpi xmlns:a14="http://schemas.microsoft.com/office/drawing/2010/main" val="0"/>
                      </a:ext>
                    </a:extLst>
                  </a:blip>
                  <a:srcRect l="2791" t="24742" r="5116" b="29897"/>
                  <a:stretch>
                    <a:fillRect/>
                  </a:stretch>
                </pic:blipFill>
                <pic:spPr bwMode="auto">
                  <a:xfrm>
                    <a:off x="0" y="0"/>
                    <a:ext cx="2743200" cy="609600"/>
                  </a:xfrm>
                  <a:prstGeom prst="rect">
                    <a:avLst/>
                  </a:prstGeom>
                  <a:noFill/>
                  <a:ln>
                    <a:noFill/>
                  </a:ln>
                </pic:spPr>
              </pic:pic>
            </a:graphicData>
          </a:graphic>
        </wp:anchor>
      </w:drawing>
    </w:r>
    <w:r w:rsidR="00000000">
      <w:rPr>
        <w:noProof/>
        <w:lang w:eastAsia="cs-CZ"/>
      </w:rPr>
      <w:pict>
        <v:rect id="Obdélník 2" o:spid="_x0000_s1029" style="position:absolute;left:0;text-align:left;margin-left:-43.15pt;margin-top:-35.45pt;width:602.25pt;height:90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" fillcolor="#404040" stroked="f">
          <v:textbox style="mso-next-textbox:#Obdélník 2">
            <w:txbxContent>
              <w:p w:rsidR="007944DB" w:rsidRDefault="007944DB" w:rsidP="007944DB">
                <w:pPr>
                  <w:jc w:val="center"/>
                </w:pPr>
              </w:p>
            </w:txbxContent>
          </v:textbox>
        </v:rect>
      </w:pict>
    </w:r>
    <w:r w:rsidR="00000000">
      <w:rPr>
        <w:noProof/>
        <w:lang w:eastAsia="cs-CZ"/>
      </w:rPr>
      <w:pict>
        <v:shapetype id="_x0000_t32" coordsize="21600,21600" o:spt="32" o:oned="t" path="m,l21600,21600e" filled="f">
          <v:path arrowok="t" fillok="f" o:connecttype="none"/>
          <o:lock v:ext="edit" shapetype="t"/>
        </v:shapetype>
        <v:shape id="Přímá spojnice se šipkou 5" o:spid="_x0000_s1028" type="#_x0000_t32" style="position:absolute;left:0;text-align:left;margin-left:327.75pt;margin-top:14.75pt;width:56.95pt;height:0;rotation:9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" adj="-148773,-1,-148773" strokecolor="#7f7f7f" strokeweight="1.5pt"/>
      </w:pict>
    </w:r>
    <w:r w:rsidR="00000000">
      <w:rPr>
        <w:noProof/>
        <w:lang w:eastAsia="cs-CZ"/>
      </w:rPr>
      <w:pict>
        <v:shape id="Přímá spojnice se šipkou 6" o:spid="_x0000_s1027" type="#_x0000_t32" style="position:absolute;left:0;text-align:left;margin-left:192.95pt;margin-top:13.65pt;width:56.95pt;height:0;rotation:9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" adj="-97646,-1,-97646" strokecolor="#7f7f7f" strokeweight="1.5pt"/>
      </w:pict>
    </w:r>
    <w:r w:rsidR="00000000">
      <w:rPr>
        <w:noProof/>
        <w:lang w:eastAsia="cs-CZ"/>
      </w:rPr>
      <w:pict>
        <v:shapetype id="_x0000_t202" coordsize="21600,21600" o:spt="202" path="m,l,21600r21600,l21600,xe">
          <v:stroke joinstyle="miter"/>
          <v:path gradientshapeok="t" o:connecttype="rect"/>
        </v:shapetype>
        <v:shape id="Textové pole 4" o:spid="_x0000_s1026" type="#_x0000_t202" style="position:absolute;left:0;text-align:left;margin-left:375.85pt;margin-top:-7.75pt;width:151.4pt;height:36.5pt;z-index:251659264;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" filled="f" stroked="f">
          <v:textbox style="mso-next-textbox:#Textové pole 4;mso-fit-shape-to-text:t">
            <w:txbxContent>
              <w:p w:rsidR="007944DB" w:rsidRPr="00136183" w:rsidRDefault="007944DB" w:rsidP="007944DB">
                <w:pPr>
                  <w:spacing w:line="360" w:lineRule="auto"/>
                  <w:rPr>
                    <w:b/>
                    <w:color w:val="FFFFFF"/>
                    <w:sz w:val="16"/>
                  </w:rPr>
                </w:pPr>
                <w:r w:rsidRPr="00136183">
                  <w:rPr>
                    <w:b/>
                    <w:color w:val="FFFFFF"/>
                    <w:sz w:val="16"/>
                  </w:rPr>
                  <w:t>tel.</w:t>
                </w:r>
                <w:r w:rsidRPr="00136183">
                  <w:rPr>
                    <w:b/>
                    <w:color w:val="FFFFFF"/>
                    <w:sz w:val="16"/>
                  </w:rPr>
                  <w:tab/>
                  <w:t>+420 732 207 900</w:t>
                </w:r>
              </w:p>
              <w:p w:rsidR="007944DB" w:rsidRPr="006031BB" w:rsidRDefault="007944DB" w:rsidP="007944DB">
                <w:pPr>
                  <w:spacing w:line="360" w:lineRule="auto"/>
                  <w:rPr>
                    <w:b/>
                    <w:color w:val="FFFFFF" w:themeColor="background1"/>
                    <w:sz w:val="16"/>
                  </w:rPr>
                </w:pPr>
                <w:r w:rsidRPr="00136183">
                  <w:rPr>
                    <w:b/>
                    <w:color w:val="FFFFFF"/>
                    <w:sz w:val="16"/>
                  </w:rPr>
                  <w:t>email</w:t>
                </w:r>
                <w:r w:rsidRPr="00136183">
                  <w:rPr>
                    <w:b/>
                    <w:color w:val="FFFFFF"/>
                    <w:sz w:val="16"/>
                  </w:rPr>
                  <w:tab/>
                </w:r>
                <w:r w:rsidRPr="006031BB">
                  <w:rPr>
                    <w:b/>
                    <w:color w:val="FFFFFF" w:themeColor="background1"/>
                    <w:sz w:val="14"/>
                  </w:rPr>
                  <w:t>doprava@ne2dprojekt.cz</w:t>
                </w:r>
              </w:p>
              <w:p w:rsidR="007944DB" w:rsidRPr="00136183" w:rsidRDefault="007944DB" w:rsidP="007944DB">
                <w:pPr>
                  <w:rPr>
                    <w:color w:val="FFFFFF"/>
                    <w:sz w:val="16"/>
                  </w:rPr>
                </w:pPr>
                <w:r w:rsidRPr="00136183">
                  <w:rPr>
                    <w:b/>
                    <w:color w:val="FFFFFF"/>
                    <w:sz w:val="16"/>
                  </w:rPr>
                  <w:t>web</w:t>
                </w:r>
                <w:r w:rsidRPr="00136183">
                  <w:rPr>
                    <w:b/>
                    <w:color w:val="FFFFFF"/>
                    <w:sz w:val="16"/>
                  </w:rPr>
                  <w:tab/>
                  <w:t>www.ne2dprojekt.cz</w:t>
                </w:r>
              </w:p>
            </w:txbxContent>
          </v:textbox>
          <w10:wrap type="square"/>
        </v:shape>
      </w:pict>
    </w:r>
    <w:r w:rsidR="00000000">
      <w:rPr>
        <w:noProof/>
        <w:lang w:eastAsia="cs-CZ"/>
      </w:rPr>
      <w:pict>
        <v:shape id="Textové pole 3" o:spid="_x0000_s1025" type="#_x0000_t202" style="position:absolute;left:0;text-align:left;margin-left:244.7pt;margin-top:-7.05pt;width:93.65pt;height:37.7pt;z-index:251658240;visibility:visible;mso-height-percent:200;mso-wrap-distance-top:3.6pt;mso-wrap-distance-bottom:3.6pt;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" filled="f" stroked="f">
          <v:textbox style="mso-next-textbox:#Textové pole 3;mso-fit-shape-to-text:t">
            <w:txbxContent>
              <w:p w:rsidR="007944DB" w:rsidRPr="00ED6015" w:rsidRDefault="007944DB" w:rsidP="007944DB">
                <w:pPr>
                  <w:spacing w:line="360" w:lineRule="auto"/>
                  <w:rPr>
                    <w:b/>
                    <w:color w:val="FFFFFF"/>
                    <w:sz w:val="18"/>
                  </w:rPr>
                </w:pPr>
                <w:r w:rsidRPr="00ED6015">
                  <w:rPr>
                    <w:b/>
                    <w:color w:val="FFFFFF"/>
                    <w:sz w:val="18"/>
                  </w:rPr>
                  <w:t xml:space="preserve">NE2D Projekt s.r.o. </w:t>
                </w:r>
              </w:p>
              <w:p w:rsidR="007944DB" w:rsidRPr="00B6220C" w:rsidRDefault="007944DB" w:rsidP="007944DB">
                <w:pPr>
                  <w:spacing w:line="360" w:lineRule="auto"/>
                  <w:rPr>
                    <w:color w:val="FFFFFF"/>
                    <w:sz w:val="16"/>
                  </w:rPr>
                </w:pPr>
                <w:r w:rsidRPr="00B6220C">
                  <w:rPr>
                    <w:color w:val="FFFFFF"/>
                    <w:sz w:val="16"/>
                  </w:rPr>
                  <w:t>Prokopa Holého 2007</w:t>
                </w:r>
              </w:p>
              <w:p w:rsidR="007944DB" w:rsidRPr="00B6220C" w:rsidRDefault="007944DB" w:rsidP="007944DB">
                <w:pPr>
                  <w:rPr>
                    <w:color w:val="FFFFFF"/>
                    <w:sz w:val="16"/>
                  </w:rPr>
                </w:pPr>
                <w:r w:rsidRPr="00B6220C">
                  <w:rPr>
                    <w:color w:val="FFFFFF"/>
                    <w:sz w:val="16"/>
                  </w:rPr>
                  <w:t xml:space="preserve">Most 434 01 </w:t>
                </w:r>
              </w:p>
            </w:txbxContent>
          </v:textbox>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1428" w:hanging="360"/>
      </w:pPr>
      <w:rPr>
        <w:rFonts w:ascii="Wingdings" w:hAnsi="Wingdings"/>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3" w15:restartNumberingAfterBreak="0">
    <w:nsid w:val="0AED4AEA"/>
    <w:multiLevelType w:val="hybridMultilevel"/>
    <w:tmpl w:val="6E0887C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1B7B0C"/>
    <w:multiLevelType w:val="hybridMultilevel"/>
    <w:tmpl w:val="4932549A"/>
    <w:lvl w:ilvl="0" w:tplc="17F8037C">
      <w:start w:val="1"/>
      <w:numFmt w:val="lowerLetter"/>
      <w:lvlText w:val="%1)"/>
      <w:lvlJc w:val="left"/>
      <w:pPr>
        <w:ind w:left="777" w:hanging="360"/>
      </w:pPr>
      <w:rPr>
        <w:b w:val="0"/>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5" w15:restartNumberingAfterBreak="0">
    <w:nsid w:val="249B1459"/>
    <w:multiLevelType w:val="hybridMultilevel"/>
    <w:tmpl w:val="A80A0CD4"/>
    <w:lvl w:ilvl="0" w:tplc="AA948282">
      <w:start w:val="3"/>
      <w:numFmt w:val="bullet"/>
      <w:lvlText w:val="-"/>
      <w:lvlJc w:val="left"/>
      <w:pPr>
        <w:ind w:left="720" w:hanging="360"/>
      </w:pPr>
      <w:rPr>
        <w:rFonts w:ascii="Calibri" w:eastAsia="Lucida Sans Unicode"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E21BDE"/>
    <w:multiLevelType w:val="hybridMultilevel"/>
    <w:tmpl w:val="6E7ACC62"/>
    <w:lvl w:ilvl="0" w:tplc="04050001">
      <w:start w:val="1"/>
      <w:numFmt w:val="bullet"/>
      <w:lvlText w:val=""/>
      <w:lvlJc w:val="left"/>
      <w:pPr>
        <w:ind w:left="1426" w:hanging="360"/>
      </w:pPr>
      <w:rPr>
        <w:rFonts w:ascii="Symbol" w:hAnsi="Symbo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34EC0102"/>
    <w:multiLevelType w:val="multilevel"/>
    <w:tmpl w:val="000000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36AD54D7"/>
    <w:multiLevelType w:val="hybridMultilevel"/>
    <w:tmpl w:val="548ACB30"/>
    <w:lvl w:ilvl="0" w:tplc="17F8037C">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43433D"/>
    <w:multiLevelType w:val="hybridMultilevel"/>
    <w:tmpl w:val="53A2E52E"/>
    <w:lvl w:ilvl="0" w:tplc="B0205CD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3104AA"/>
    <w:multiLevelType w:val="hybridMultilevel"/>
    <w:tmpl w:val="35B6E30C"/>
    <w:lvl w:ilvl="0" w:tplc="45EE316E">
      <w:start w:val="1"/>
      <w:numFmt w:val="bullet"/>
      <w:pStyle w:val="Podnadpis"/>
      <w:lvlText w:val="o"/>
      <w:lvlJc w:val="left"/>
      <w:pPr>
        <w:ind w:left="2629" w:hanging="360"/>
      </w:pPr>
      <w:rPr>
        <w:rFonts w:ascii="Courier New" w:hAnsi="Courier New" w:cs="Courier New"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15:restartNumberingAfterBreak="0">
    <w:nsid w:val="52E02CA3"/>
    <w:multiLevelType w:val="hybridMultilevel"/>
    <w:tmpl w:val="E6F26BFC"/>
    <w:lvl w:ilvl="0" w:tplc="17F8037C">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F925AC"/>
    <w:multiLevelType w:val="hybridMultilevel"/>
    <w:tmpl w:val="E4CE6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30530560">
    <w:abstractNumId w:val="0"/>
  </w:num>
  <w:num w:numId="2" w16cid:durableId="716856251">
    <w:abstractNumId w:val="1"/>
  </w:num>
  <w:num w:numId="3" w16cid:durableId="999230343">
    <w:abstractNumId w:val="2"/>
  </w:num>
  <w:num w:numId="4" w16cid:durableId="1205555633">
    <w:abstractNumId w:val="10"/>
  </w:num>
  <w:num w:numId="5" w16cid:durableId="616064183">
    <w:abstractNumId w:val="4"/>
    <w:lvlOverride w:ilvl="0">
      <w:startOverride w:val="1"/>
    </w:lvlOverride>
  </w:num>
  <w:num w:numId="6" w16cid:durableId="947393830">
    <w:abstractNumId w:val="4"/>
  </w:num>
  <w:num w:numId="7" w16cid:durableId="2057044207">
    <w:abstractNumId w:val="7"/>
  </w:num>
  <w:num w:numId="8" w16cid:durableId="854734787">
    <w:abstractNumId w:val="12"/>
  </w:num>
  <w:num w:numId="9" w16cid:durableId="1878273371">
    <w:abstractNumId w:val="10"/>
  </w:num>
  <w:num w:numId="10" w16cid:durableId="447630567">
    <w:abstractNumId w:val="10"/>
  </w:num>
  <w:num w:numId="11" w16cid:durableId="1646662000">
    <w:abstractNumId w:val="6"/>
  </w:num>
  <w:num w:numId="12" w16cid:durableId="1588921164">
    <w:abstractNumId w:val="9"/>
  </w:num>
  <w:num w:numId="13" w16cid:durableId="1033771385">
    <w:abstractNumId w:val="3"/>
  </w:num>
  <w:num w:numId="14" w16cid:durableId="1267738674">
    <w:abstractNumId w:val="8"/>
  </w:num>
  <w:num w:numId="15" w16cid:durableId="2064596021">
    <w:abstractNumId w:val="11"/>
  </w:num>
  <w:num w:numId="16" w16cid:durableId="20248901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rules v:ext="edit">
        <o:r id="V:Rule1" type="connector" idref="#Přímá spojnice se šipkou 5"/>
        <o:r id="V:Rule2" type="connector" idref="#Přímá spojnice se šipkou 6"/>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8E314C"/>
    <w:rsid w:val="00003CC4"/>
    <w:rsid w:val="000409AD"/>
    <w:rsid w:val="00065BFF"/>
    <w:rsid w:val="00083D17"/>
    <w:rsid w:val="00093EE6"/>
    <w:rsid w:val="00096EB6"/>
    <w:rsid w:val="000E069A"/>
    <w:rsid w:val="000E18D7"/>
    <w:rsid w:val="000F53B6"/>
    <w:rsid w:val="0012168A"/>
    <w:rsid w:val="001243F4"/>
    <w:rsid w:val="00126111"/>
    <w:rsid w:val="00142485"/>
    <w:rsid w:val="00151A41"/>
    <w:rsid w:val="00155996"/>
    <w:rsid w:val="00165937"/>
    <w:rsid w:val="00171427"/>
    <w:rsid w:val="00174095"/>
    <w:rsid w:val="00184C5D"/>
    <w:rsid w:val="0018742C"/>
    <w:rsid w:val="00191A13"/>
    <w:rsid w:val="001D01DE"/>
    <w:rsid w:val="001D7CE2"/>
    <w:rsid w:val="001E0A9F"/>
    <w:rsid w:val="001E6CDF"/>
    <w:rsid w:val="001F310B"/>
    <w:rsid w:val="00212276"/>
    <w:rsid w:val="00232342"/>
    <w:rsid w:val="0023595C"/>
    <w:rsid w:val="002439E8"/>
    <w:rsid w:val="0025099E"/>
    <w:rsid w:val="00251256"/>
    <w:rsid w:val="002736D7"/>
    <w:rsid w:val="002777B5"/>
    <w:rsid w:val="002870A2"/>
    <w:rsid w:val="00287827"/>
    <w:rsid w:val="0029310F"/>
    <w:rsid w:val="00294B3C"/>
    <w:rsid w:val="002B712A"/>
    <w:rsid w:val="002C0F40"/>
    <w:rsid w:val="002D0C70"/>
    <w:rsid w:val="002E49A1"/>
    <w:rsid w:val="00320549"/>
    <w:rsid w:val="00323998"/>
    <w:rsid w:val="0032674E"/>
    <w:rsid w:val="0033440B"/>
    <w:rsid w:val="0036425B"/>
    <w:rsid w:val="00371DE8"/>
    <w:rsid w:val="003746D5"/>
    <w:rsid w:val="00380E53"/>
    <w:rsid w:val="003A0B9E"/>
    <w:rsid w:val="003B36DC"/>
    <w:rsid w:val="003B53A6"/>
    <w:rsid w:val="003C06AE"/>
    <w:rsid w:val="003C5CB9"/>
    <w:rsid w:val="003C61C7"/>
    <w:rsid w:val="003C62CA"/>
    <w:rsid w:val="003D7EEF"/>
    <w:rsid w:val="003E3342"/>
    <w:rsid w:val="003E5C13"/>
    <w:rsid w:val="003E7E3C"/>
    <w:rsid w:val="003F10F8"/>
    <w:rsid w:val="00426524"/>
    <w:rsid w:val="00434E49"/>
    <w:rsid w:val="00435912"/>
    <w:rsid w:val="004421F3"/>
    <w:rsid w:val="0044533F"/>
    <w:rsid w:val="00447AE6"/>
    <w:rsid w:val="004528A2"/>
    <w:rsid w:val="00456C5E"/>
    <w:rsid w:val="00457283"/>
    <w:rsid w:val="00463F05"/>
    <w:rsid w:val="00473E4C"/>
    <w:rsid w:val="004800B5"/>
    <w:rsid w:val="0048635A"/>
    <w:rsid w:val="00493F1F"/>
    <w:rsid w:val="004A22CD"/>
    <w:rsid w:val="004B5BC8"/>
    <w:rsid w:val="004B7404"/>
    <w:rsid w:val="004C271A"/>
    <w:rsid w:val="004D51A1"/>
    <w:rsid w:val="004E098F"/>
    <w:rsid w:val="004F026D"/>
    <w:rsid w:val="004F21AE"/>
    <w:rsid w:val="00506FA8"/>
    <w:rsid w:val="005072FC"/>
    <w:rsid w:val="00526C8A"/>
    <w:rsid w:val="00537C85"/>
    <w:rsid w:val="0054589B"/>
    <w:rsid w:val="00557BF7"/>
    <w:rsid w:val="00572B40"/>
    <w:rsid w:val="00573E58"/>
    <w:rsid w:val="005763DF"/>
    <w:rsid w:val="00577CCF"/>
    <w:rsid w:val="005818BF"/>
    <w:rsid w:val="00582D37"/>
    <w:rsid w:val="00590D92"/>
    <w:rsid w:val="00594019"/>
    <w:rsid w:val="005A17A2"/>
    <w:rsid w:val="005C00EE"/>
    <w:rsid w:val="005C3561"/>
    <w:rsid w:val="005D07FC"/>
    <w:rsid w:val="005D58C2"/>
    <w:rsid w:val="005E15AE"/>
    <w:rsid w:val="005E23C4"/>
    <w:rsid w:val="005F1602"/>
    <w:rsid w:val="006031BB"/>
    <w:rsid w:val="00605531"/>
    <w:rsid w:val="00607688"/>
    <w:rsid w:val="006134CE"/>
    <w:rsid w:val="00627550"/>
    <w:rsid w:val="00631CE0"/>
    <w:rsid w:val="00635C91"/>
    <w:rsid w:val="0064284F"/>
    <w:rsid w:val="006755B0"/>
    <w:rsid w:val="0068188D"/>
    <w:rsid w:val="0068601D"/>
    <w:rsid w:val="006901D0"/>
    <w:rsid w:val="006B115B"/>
    <w:rsid w:val="006C3196"/>
    <w:rsid w:val="006C4A8F"/>
    <w:rsid w:val="006C6B0C"/>
    <w:rsid w:val="006F235C"/>
    <w:rsid w:val="0070027D"/>
    <w:rsid w:val="007024EC"/>
    <w:rsid w:val="007205AD"/>
    <w:rsid w:val="00721700"/>
    <w:rsid w:val="00736FB8"/>
    <w:rsid w:val="0074116D"/>
    <w:rsid w:val="00742460"/>
    <w:rsid w:val="00743FCF"/>
    <w:rsid w:val="007455A8"/>
    <w:rsid w:val="007553C0"/>
    <w:rsid w:val="00771060"/>
    <w:rsid w:val="0078250E"/>
    <w:rsid w:val="00793F52"/>
    <w:rsid w:val="007944DB"/>
    <w:rsid w:val="00797C66"/>
    <w:rsid w:val="007C65A6"/>
    <w:rsid w:val="007D0D12"/>
    <w:rsid w:val="007D5BD8"/>
    <w:rsid w:val="007E161F"/>
    <w:rsid w:val="007E1DF5"/>
    <w:rsid w:val="007E3592"/>
    <w:rsid w:val="007E3679"/>
    <w:rsid w:val="007F0CA6"/>
    <w:rsid w:val="008076E8"/>
    <w:rsid w:val="00807F34"/>
    <w:rsid w:val="008206A3"/>
    <w:rsid w:val="00823193"/>
    <w:rsid w:val="008342E0"/>
    <w:rsid w:val="008428C2"/>
    <w:rsid w:val="00857EE5"/>
    <w:rsid w:val="00860538"/>
    <w:rsid w:val="00863E08"/>
    <w:rsid w:val="00864EFD"/>
    <w:rsid w:val="00882D76"/>
    <w:rsid w:val="00893936"/>
    <w:rsid w:val="008A2425"/>
    <w:rsid w:val="008A67D3"/>
    <w:rsid w:val="008B6789"/>
    <w:rsid w:val="008B78D0"/>
    <w:rsid w:val="008B7B9F"/>
    <w:rsid w:val="008C4886"/>
    <w:rsid w:val="008D54C5"/>
    <w:rsid w:val="008D5504"/>
    <w:rsid w:val="008E314C"/>
    <w:rsid w:val="00903E44"/>
    <w:rsid w:val="009104E3"/>
    <w:rsid w:val="00932220"/>
    <w:rsid w:val="009345FB"/>
    <w:rsid w:val="009351B9"/>
    <w:rsid w:val="00936365"/>
    <w:rsid w:val="00962BD0"/>
    <w:rsid w:val="00974167"/>
    <w:rsid w:val="00985FB6"/>
    <w:rsid w:val="0099586E"/>
    <w:rsid w:val="009A3C9A"/>
    <w:rsid w:val="009C3802"/>
    <w:rsid w:val="009F36AB"/>
    <w:rsid w:val="00A00E34"/>
    <w:rsid w:val="00A0341C"/>
    <w:rsid w:val="00A262DB"/>
    <w:rsid w:val="00A37826"/>
    <w:rsid w:val="00A4034E"/>
    <w:rsid w:val="00A534C1"/>
    <w:rsid w:val="00A55601"/>
    <w:rsid w:val="00A62F04"/>
    <w:rsid w:val="00A63412"/>
    <w:rsid w:val="00A738AF"/>
    <w:rsid w:val="00A74F6C"/>
    <w:rsid w:val="00A7696D"/>
    <w:rsid w:val="00A94A41"/>
    <w:rsid w:val="00AA617F"/>
    <w:rsid w:val="00AC03BD"/>
    <w:rsid w:val="00AC05D5"/>
    <w:rsid w:val="00AC46C2"/>
    <w:rsid w:val="00AD3973"/>
    <w:rsid w:val="00AE1EB4"/>
    <w:rsid w:val="00AE4F17"/>
    <w:rsid w:val="00B03F00"/>
    <w:rsid w:val="00B248B8"/>
    <w:rsid w:val="00B24E8B"/>
    <w:rsid w:val="00B30142"/>
    <w:rsid w:val="00B318C1"/>
    <w:rsid w:val="00B404EA"/>
    <w:rsid w:val="00B41DFC"/>
    <w:rsid w:val="00B437D8"/>
    <w:rsid w:val="00B47FB9"/>
    <w:rsid w:val="00B605E8"/>
    <w:rsid w:val="00B61BF4"/>
    <w:rsid w:val="00B636E8"/>
    <w:rsid w:val="00B73EF4"/>
    <w:rsid w:val="00B75E53"/>
    <w:rsid w:val="00B77005"/>
    <w:rsid w:val="00B966DB"/>
    <w:rsid w:val="00BB5626"/>
    <w:rsid w:val="00BC6477"/>
    <w:rsid w:val="00BC698F"/>
    <w:rsid w:val="00BD7423"/>
    <w:rsid w:val="00BE758E"/>
    <w:rsid w:val="00BF112A"/>
    <w:rsid w:val="00BF4106"/>
    <w:rsid w:val="00BF67DD"/>
    <w:rsid w:val="00C346D2"/>
    <w:rsid w:val="00C46220"/>
    <w:rsid w:val="00C5639F"/>
    <w:rsid w:val="00C60A32"/>
    <w:rsid w:val="00C641A9"/>
    <w:rsid w:val="00C73AE1"/>
    <w:rsid w:val="00C85D20"/>
    <w:rsid w:val="00C963B8"/>
    <w:rsid w:val="00CA13B2"/>
    <w:rsid w:val="00CB283E"/>
    <w:rsid w:val="00CC4AA6"/>
    <w:rsid w:val="00CC5E63"/>
    <w:rsid w:val="00CC7283"/>
    <w:rsid w:val="00CE25B1"/>
    <w:rsid w:val="00CE3755"/>
    <w:rsid w:val="00CE3913"/>
    <w:rsid w:val="00CE6799"/>
    <w:rsid w:val="00D003D8"/>
    <w:rsid w:val="00D10436"/>
    <w:rsid w:val="00D11153"/>
    <w:rsid w:val="00D13EF2"/>
    <w:rsid w:val="00D2193B"/>
    <w:rsid w:val="00D248B7"/>
    <w:rsid w:val="00D34508"/>
    <w:rsid w:val="00D54BAE"/>
    <w:rsid w:val="00D80698"/>
    <w:rsid w:val="00D8554B"/>
    <w:rsid w:val="00D951A2"/>
    <w:rsid w:val="00D9548A"/>
    <w:rsid w:val="00DA41A9"/>
    <w:rsid w:val="00DA42FB"/>
    <w:rsid w:val="00DA52B8"/>
    <w:rsid w:val="00DA55AC"/>
    <w:rsid w:val="00DB1740"/>
    <w:rsid w:val="00DB2E0E"/>
    <w:rsid w:val="00DB4052"/>
    <w:rsid w:val="00DD455B"/>
    <w:rsid w:val="00DD7D43"/>
    <w:rsid w:val="00E14112"/>
    <w:rsid w:val="00E373DE"/>
    <w:rsid w:val="00E408DE"/>
    <w:rsid w:val="00E46B6E"/>
    <w:rsid w:val="00E604B0"/>
    <w:rsid w:val="00E6351F"/>
    <w:rsid w:val="00E86C94"/>
    <w:rsid w:val="00EA16FE"/>
    <w:rsid w:val="00EB0DE8"/>
    <w:rsid w:val="00EC0AAE"/>
    <w:rsid w:val="00EE3627"/>
    <w:rsid w:val="00EE6C82"/>
    <w:rsid w:val="00EE7C03"/>
    <w:rsid w:val="00EF7CDB"/>
    <w:rsid w:val="00F11A20"/>
    <w:rsid w:val="00F23AAD"/>
    <w:rsid w:val="00F25358"/>
    <w:rsid w:val="00F27154"/>
    <w:rsid w:val="00F34C68"/>
    <w:rsid w:val="00F4140E"/>
    <w:rsid w:val="00F65BB1"/>
    <w:rsid w:val="00F76813"/>
    <w:rsid w:val="00F8682F"/>
    <w:rsid w:val="00F95F34"/>
    <w:rsid w:val="00FA024B"/>
    <w:rsid w:val="00FB6CC8"/>
    <w:rsid w:val="00FD2036"/>
    <w:rsid w:val="00FE7F9B"/>
    <w:rsid w:val="00FF0036"/>
    <w:rsid w:val="00FF387D"/>
    <w:rsid w:val="00FF5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15CD9D0"/>
  <w15:docId w15:val="{706836CD-7C02-45AD-BC98-39D1DC7A2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odborný text"/>
    <w:qFormat/>
    <w:rsid w:val="00D10436"/>
    <w:pPr>
      <w:suppressAutoHyphens/>
      <w:spacing w:line="100" w:lineRule="atLeast"/>
      <w:jc w:val="both"/>
    </w:pPr>
    <w:rPr>
      <w:rFonts w:ascii="Calibri" w:eastAsia="Lucida Sans Unicode" w:hAnsi="Calibri"/>
      <w:kern w:val="1"/>
      <w:sz w:val="24"/>
      <w:szCs w:val="24"/>
      <w:lang w:eastAsia="ar-SA"/>
    </w:rPr>
  </w:style>
  <w:style w:type="paragraph" w:styleId="Nadpis1">
    <w:name w:val="heading 1"/>
    <w:basedOn w:val="Normln"/>
    <w:next w:val="Normln"/>
    <w:link w:val="Nadpis1Char"/>
    <w:uiPriority w:val="9"/>
    <w:qFormat/>
    <w:rsid w:val="00447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Zkladntext"/>
    <w:qFormat/>
    <w:rsid w:val="00FF5D78"/>
    <w:pPr>
      <w:keepNext/>
      <w:tabs>
        <w:tab w:val="num" w:pos="432"/>
      </w:tabs>
      <w:spacing w:before="240" w:after="60" w:line="360" w:lineRule="auto"/>
      <w:ind w:left="432" w:hanging="432"/>
      <w:jc w:val="left"/>
      <w:outlineLvl w:val="1"/>
    </w:pPr>
    <w:rPr>
      <w:rFonts w:asciiTheme="majorHAnsi" w:eastAsia="Times New Roman" w:hAnsiTheme="majorHAnsi"/>
      <w:bCs/>
      <w:i/>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sid w:val="00D10436"/>
    <w:rPr>
      <w:rFonts w:cs="Courier New"/>
    </w:rPr>
  </w:style>
  <w:style w:type="character" w:customStyle="1" w:styleId="Standardnpsmoodstavce1">
    <w:name w:val="Standardní písmo odstavce1"/>
    <w:rsid w:val="00D10436"/>
  </w:style>
  <w:style w:type="character" w:customStyle="1" w:styleId="Nadpis2Char">
    <w:name w:val="Nadpis 2 Char"/>
    <w:basedOn w:val="Standardnpsmoodstavce1"/>
    <w:rsid w:val="00D10436"/>
  </w:style>
  <w:style w:type="character" w:customStyle="1" w:styleId="ZhlavChar">
    <w:name w:val="Záhlaví Char"/>
    <w:basedOn w:val="Standardnpsmoodstavce1"/>
    <w:rsid w:val="00D10436"/>
  </w:style>
  <w:style w:type="character" w:customStyle="1" w:styleId="ZpatChar">
    <w:name w:val="Zápatí Char"/>
    <w:basedOn w:val="Standardnpsmoodstavce1"/>
    <w:uiPriority w:val="99"/>
    <w:rsid w:val="00D10436"/>
  </w:style>
  <w:style w:type="character" w:customStyle="1" w:styleId="NzevChar">
    <w:name w:val="Název Char"/>
    <w:basedOn w:val="Standardnpsmoodstavce1"/>
    <w:rsid w:val="00D10436"/>
  </w:style>
  <w:style w:type="character" w:styleId="Siln">
    <w:name w:val="Strong"/>
    <w:basedOn w:val="Standardnpsmoodstavce1"/>
    <w:qFormat/>
    <w:rsid w:val="00D10436"/>
    <w:rPr>
      <w:b/>
      <w:bCs/>
    </w:rPr>
  </w:style>
  <w:style w:type="character" w:customStyle="1" w:styleId="PodtitulChar">
    <w:name w:val="Podtitul Char"/>
    <w:basedOn w:val="Standardnpsmoodstavce1"/>
    <w:rsid w:val="00D10436"/>
  </w:style>
  <w:style w:type="character" w:customStyle="1" w:styleId="StylKurzvaPodtrenChar">
    <w:name w:val="Styl  + Kurzíva Podtržení Char"/>
    <w:basedOn w:val="Standardnpsmoodstavce1"/>
    <w:rsid w:val="00D10436"/>
  </w:style>
  <w:style w:type="character" w:customStyle="1" w:styleId="Zdraznnjemn1">
    <w:name w:val="Zdůraznění – jemné1"/>
    <w:basedOn w:val="Standardnpsmoodstavce1"/>
    <w:rsid w:val="00D10436"/>
  </w:style>
  <w:style w:type="character" w:styleId="Hypertextovodkaz">
    <w:name w:val="Hyperlink"/>
    <w:basedOn w:val="Standardnpsmoodstavce1"/>
    <w:uiPriority w:val="99"/>
    <w:rsid w:val="00D10436"/>
    <w:rPr>
      <w:color w:val="0000FF"/>
      <w:u w:val="single"/>
    </w:rPr>
  </w:style>
  <w:style w:type="character" w:customStyle="1" w:styleId="TextbublinyChar">
    <w:name w:val="Text bubliny Char"/>
    <w:basedOn w:val="Standardnpsmoodstavce1"/>
    <w:rsid w:val="00D10436"/>
  </w:style>
  <w:style w:type="paragraph" w:customStyle="1" w:styleId="Nadpis">
    <w:name w:val="Nadpis"/>
    <w:basedOn w:val="Normln"/>
    <w:next w:val="Zkladntext"/>
    <w:rsid w:val="00D10436"/>
    <w:pPr>
      <w:keepNext/>
      <w:spacing w:before="240" w:after="120"/>
    </w:pPr>
    <w:rPr>
      <w:rFonts w:ascii="Arial" w:eastAsia="Arial Unicode MS" w:hAnsi="Arial" w:cs="Mangal"/>
      <w:sz w:val="28"/>
      <w:szCs w:val="28"/>
    </w:rPr>
  </w:style>
  <w:style w:type="paragraph" w:styleId="Zkladntext">
    <w:name w:val="Body Text"/>
    <w:basedOn w:val="Normln"/>
    <w:rsid w:val="00D10436"/>
    <w:pPr>
      <w:spacing w:after="120"/>
    </w:pPr>
  </w:style>
  <w:style w:type="paragraph" w:styleId="Seznam">
    <w:name w:val="List"/>
    <w:basedOn w:val="Zkladntext"/>
    <w:rsid w:val="00D10436"/>
    <w:rPr>
      <w:rFonts w:cs="Mangal"/>
    </w:rPr>
  </w:style>
  <w:style w:type="paragraph" w:customStyle="1" w:styleId="Popisek">
    <w:name w:val="Popisek"/>
    <w:basedOn w:val="Normln"/>
    <w:rsid w:val="00D10436"/>
    <w:pPr>
      <w:suppressLineNumbers/>
      <w:spacing w:before="120" w:after="120"/>
    </w:pPr>
    <w:rPr>
      <w:rFonts w:cs="Mangal"/>
      <w:i/>
      <w:iCs/>
    </w:rPr>
  </w:style>
  <w:style w:type="paragraph" w:customStyle="1" w:styleId="Rejstk">
    <w:name w:val="Rejstřík"/>
    <w:basedOn w:val="Normln"/>
    <w:rsid w:val="00D10436"/>
    <w:pPr>
      <w:suppressLineNumbers/>
    </w:pPr>
    <w:rPr>
      <w:rFonts w:cs="Mangal"/>
    </w:rPr>
  </w:style>
  <w:style w:type="paragraph" w:styleId="Zhlav">
    <w:name w:val="header"/>
    <w:basedOn w:val="Normln"/>
    <w:rsid w:val="00D10436"/>
    <w:pPr>
      <w:suppressLineNumbers/>
      <w:tabs>
        <w:tab w:val="center" w:pos="4536"/>
        <w:tab w:val="right" w:pos="9072"/>
      </w:tabs>
    </w:pPr>
  </w:style>
  <w:style w:type="paragraph" w:styleId="Zpat">
    <w:name w:val="footer"/>
    <w:basedOn w:val="Normln"/>
    <w:uiPriority w:val="99"/>
    <w:rsid w:val="00D10436"/>
    <w:pPr>
      <w:suppressLineNumbers/>
      <w:tabs>
        <w:tab w:val="center" w:pos="4536"/>
        <w:tab w:val="right" w:pos="9072"/>
      </w:tabs>
    </w:pPr>
  </w:style>
  <w:style w:type="paragraph" w:styleId="Nzev">
    <w:name w:val="Title"/>
    <w:basedOn w:val="Normln"/>
    <w:next w:val="Podnadpis"/>
    <w:qFormat/>
    <w:rsid w:val="00743FCF"/>
    <w:pPr>
      <w:pBdr>
        <w:bottom w:val="single" w:sz="8" w:space="4" w:color="808080"/>
      </w:pBdr>
      <w:spacing w:after="300" w:line="360" w:lineRule="auto"/>
      <w:jc w:val="left"/>
    </w:pPr>
    <w:rPr>
      <w:rFonts w:asciiTheme="majorHAnsi" w:eastAsia="Times New Roman" w:hAnsiTheme="majorHAnsi"/>
      <w:bCs/>
      <w:spacing w:val="5"/>
      <w:sz w:val="52"/>
      <w:szCs w:val="52"/>
    </w:rPr>
  </w:style>
  <w:style w:type="paragraph" w:styleId="Podnadpis">
    <w:name w:val="Subtitle"/>
    <w:basedOn w:val="Normln"/>
    <w:next w:val="Zkladntext"/>
    <w:qFormat/>
    <w:rsid w:val="00A7696D"/>
    <w:pPr>
      <w:numPr>
        <w:numId w:val="4"/>
      </w:numPr>
      <w:spacing w:before="120" w:after="180"/>
      <w:jc w:val="left"/>
      <w:outlineLvl w:val="1"/>
    </w:pPr>
    <w:rPr>
      <w:rFonts w:ascii="Cambria" w:eastAsia="Times New Roman" w:hAnsi="Cambria"/>
      <w:i/>
      <w:iCs/>
      <w:szCs w:val="28"/>
    </w:rPr>
  </w:style>
  <w:style w:type="paragraph" w:customStyle="1" w:styleId="StylKurzvaPodtren">
    <w:name w:val="Styl  + Kurzíva Podtržení"/>
    <w:basedOn w:val="Normln"/>
    <w:rsid w:val="00D10436"/>
  </w:style>
  <w:style w:type="paragraph" w:customStyle="1" w:styleId="Textbubliny1">
    <w:name w:val="Text bubliny1"/>
    <w:basedOn w:val="Normln"/>
    <w:rsid w:val="00D10436"/>
  </w:style>
  <w:style w:type="paragraph" w:customStyle="1" w:styleId="Odstavecseseznamem1">
    <w:name w:val="Odstavec se seznamem1"/>
    <w:basedOn w:val="Normln"/>
    <w:rsid w:val="00D10436"/>
  </w:style>
  <w:style w:type="paragraph" w:customStyle="1" w:styleId="StylLatinkaArial11bZarovnatdobloku">
    <w:name w:val="Styl (Latinka) Arial 11 b. Zarovnat do bloku"/>
    <w:basedOn w:val="Normln"/>
    <w:rsid w:val="002D0C70"/>
    <w:pPr>
      <w:widowControl w:val="0"/>
      <w:spacing w:line="360" w:lineRule="auto"/>
    </w:pPr>
    <w:rPr>
      <w:rFonts w:ascii="Arial" w:eastAsia="Times New Roman" w:hAnsi="Arial"/>
      <w:kern w:val="0"/>
      <w:sz w:val="22"/>
      <w:szCs w:val="20"/>
    </w:rPr>
  </w:style>
  <w:style w:type="paragraph" w:styleId="Textbubliny">
    <w:name w:val="Balloon Text"/>
    <w:basedOn w:val="Normln"/>
    <w:link w:val="TextbublinyChar1"/>
    <w:uiPriority w:val="99"/>
    <w:semiHidden/>
    <w:unhideWhenUsed/>
    <w:rsid w:val="00A7696D"/>
    <w:pPr>
      <w:spacing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A7696D"/>
    <w:rPr>
      <w:rFonts w:ascii="Tahoma" w:eastAsia="Lucida Sans Unicode" w:hAnsi="Tahoma" w:cs="Tahoma"/>
      <w:kern w:val="1"/>
      <w:sz w:val="16"/>
      <w:szCs w:val="16"/>
      <w:lang w:eastAsia="ar-SA"/>
    </w:rPr>
  </w:style>
  <w:style w:type="character" w:customStyle="1" w:styleId="apple-style-span">
    <w:name w:val="apple-style-span"/>
    <w:basedOn w:val="Standardnpsmoodstavce"/>
    <w:rsid w:val="00251256"/>
  </w:style>
  <w:style w:type="paragraph" w:styleId="Odstavecseseznamem">
    <w:name w:val="List Paragraph"/>
    <w:basedOn w:val="Normln"/>
    <w:uiPriority w:val="34"/>
    <w:qFormat/>
    <w:rsid w:val="00426524"/>
    <w:pPr>
      <w:ind w:left="720"/>
      <w:contextualSpacing/>
    </w:pPr>
  </w:style>
  <w:style w:type="paragraph" w:customStyle="1" w:styleId="text1">
    <w:name w:val="text 1"/>
    <w:basedOn w:val="Normln"/>
    <w:link w:val="text1Char"/>
    <w:qFormat/>
    <w:rsid w:val="005D07FC"/>
    <w:pPr>
      <w:widowControl w:val="0"/>
      <w:spacing w:line="240" w:lineRule="auto"/>
      <w:ind w:left="720" w:hanging="360"/>
    </w:pPr>
    <w:rPr>
      <w:kern w:val="0"/>
      <w:lang w:eastAsia="cs-CZ"/>
    </w:rPr>
  </w:style>
  <w:style w:type="character" w:customStyle="1" w:styleId="text1Char">
    <w:name w:val="text 1 Char"/>
    <w:basedOn w:val="Standardnpsmoodstavce"/>
    <w:link w:val="text1"/>
    <w:rsid w:val="005D07FC"/>
    <w:rPr>
      <w:rFonts w:ascii="Calibri" w:eastAsia="Lucida Sans Unicode" w:hAnsi="Calibri"/>
      <w:sz w:val="24"/>
      <w:szCs w:val="24"/>
    </w:rPr>
  </w:style>
  <w:style w:type="character" w:customStyle="1" w:styleId="Nadpis1Char">
    <w:name w:val="Nadpis 1 Char"/>
    <w:basedOn w:val="Standardnpsmoodstavce"/>
    <w:link w:val="Nadpis1"/>
    <w:uiPriority w:val="9"/>
    <w:rsid w:val="00447AE6"/>
    <w:rPr>
      <w:rFonts w:asciiTheme="majorHAnsi" w:eastAsiaTheme="majorEastAsia" w:hAnsiTheme="majorHAnsi" w:cstheme="majorBidi"/>
      <w:b/>
      <w:bCs/>
      <w:color w:val="365F91" w:themeColor="accent1" w:themeShade="BF"/>
      <w:kern w:val="1"/>
      <w:sz w:val="28"/>
      <w:szCs w:val="28"/>
      <w:lang w:eastAsia="ar-SA"/>
    </w:rPr>
  </w:style>
  <w:style w:type="paragraph" w:customStyle="1" w:styleId="Styl12">
    <w:name w:val="Styl12"/>
    <w:basedOn w:val="Normln"/>
    <w:link w:val="Styl12Char"/>
    <w:qFormat/>
    <w:rsid w:val="00AC46C2"/>
    <w:pPr>
      <w:widowControl w:val="0"/>
      <w:autoSpaceDE w:val="0"/>
      <w:autoSpaceDN w:val="0"/>
      <w:adjustRightInd w:val="0"/>
      <w:spacing w:before="240" w:after="240" w:line="240" w:lineRule="auto"/>
    </w:pPr>
    <w:rPr>
      <w:kern w:val="0"/>
      <w:u w:val="single"/>
      <w:lang w:eastAsia="cs-CZ"/>
    </w:rPr>
  </w:style>
  <w:style w:type="character" w:customStyle="1" w:styleId="Styl12Char">
    <w:name w:val="Styl12 Char"/>
    <w:basedOn w:val="Standardnpsmoodstavce"/>
    <w:link w:val="Styl12"/>
    <w:rsid w:val="00AC46C2"/>
    <w:rPr>
      <w:rFonts w:ascii="Calibri" w:eastAsia="Lucida Sans Unicode" w:hAnsi="Calibri"/>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1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1898</TotalTime>
  <Pages>4</Pages>
  <Words>1187</Words>
  <Characters>7209</Characters>
  <Application>Microsoft Office Word</Application>
  <DocSecurity>0</DocSecurity>
  <Lines>180</Lines>
  <Paragraphs>88</Paragraphs>
  <ScaleCrop>false</ScaleCrop>
  <HeadingPairs>
    <vt:vector size="2" baseType="variant">
      <vt:variant>
        <vt:lpstr>Název</vt:lpstr>
      </vt:variant>
      <vt:variant>
        <vt:i4>1</vt:i4>
      </vt:variant>
    </vt:vector>
  </HeadingPairs>
  <TitlesOfParts>
    <vt:vector size="1" baseType="lpstr">
      <vt:lpstr>Rekonstrukce komunikace v ul. Českobratrská v Teplicích</vt:lpstr>
    </vt:vector>
  </TitlesOfParts>
  <Company>RAPID sro</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Rekonstrukce komunikace v ul. Českobratrská v Teplicích</dc:title>
  <dc:subject/>
  <dc:creator>Lubomír Gemrot</dc:creator>
  <cp:keywords/>
  <cp:lastModifiedBy>H Licence</cp:lastModifiedBy>
  <cp:revision>147</cp:revision>
  <cp:lastPrinted>2013-11-18T12:43:00Z</cp:lastPrinted>
  <dcterms:created xsi:type="dcterms:W3CDTF">2010-11-23T14:51:00Z</dcterms:created>
  <dcterms:modified xsi:type="dcterms:W3CDTF">2025-03-27T08:24:00Z</dcterms:modified>
</cp:coreProperties>
</file>